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CA" w:rsidRDefault="00DA05CA" w:rsidP="00DA05CA">
      <w:r>
        <w:t>Załącznik 3</w:t>
      </w:r>
    </w:p>
    <w:p w:rsidR="00F62EAB" w:rsidRDefault="00F62EAB" w:rsidP="00F62EAB">
      <w:pPr>
        <w:rPr>
          <w:b/>
        </w:rPr>
      </w:pPr>
      <w:r w:rsidRPr="006E7883">
        <w:rPr>
          <w:b/>
        </w:rPr>
        <w:t>Grupy Wymiany Doświadczeń w zarządzaniu Oświatą</w:t>
      </w:r>
    </w:p>
    <w:p w:rsidR="00F62EAB" w:rsidRPr="006E7883" w:rsidRDefault="00F62EAB" w:rsidP="00F62EAB">
      <w:pPr>
        <w:jc w:val="center"/>
        <w:rPr>
          <w:b/>
          <w:sz w:val="28"/>
          <w:szCs w:val="28"/>
        </w:rPr>
      </w:pPr>
      <w:r w:rsidRPr="006E7883">
        <w:rPr>
          <w:b/>
          <w:sz w:val="28"/>
          <w:szCs w:val="28"/>
        </w:rPr>
        <w:t>KARTA OPISU DOBREJ PRAKTYKI</w:t>
      </w:r>
    </w:p>
    <w:tbl>
      <w:tblPr>
        <w:tblW w:w="9901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38"/>
        <w:gridCol w:w="27"/>
        <w:gridCol w:w="2049"/>
        <w:gridCol w:w="1326"/>
        <w:gridCol w:w="233"/>
        <w:gridCol w:w="426"/>
        <w:gridCol w:w="708"/>
        <w:gridCol w:w="3594"/>
      </w:tblGrid>
      <w:tr w:rsidR="00F62EAB" w:rsidRPr="003F51DA" w:rsidTr="009C6869">
        <w:trPr>
          <w:trHeight w:val="454"/>
        </w:trPr>
        <w:tc>
          <w:tcPr>
            <w:tcW w:w="153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62EAB" w:rsidRPr="004116D9" w:rsidRDefault="00F62EAB" w:rsidP="00F71B02">
            <w:pPr>
              <w:spacing w:before="60" w:after="60"/>
              <w:rPr>
                <w:b/>
                <w:sz w:val="18"/>
                <w:szCs w:val="18"/>
              </w:rPr>
            </w:pPr>
            <w:r w:rsidRPr="004116D9">
              <w:rPr>
                <w:b/>
                <w:sz w:val="18"/>
                <w:szCs w:val="18"/>
              </w:rPr>
              <w:t>1. Tytuł:</w:t>
            </w:r>
          </w:p>
        </w:tc>
        <w:tc>
          <w:tcPr>
            <w:tcW w:w="836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EAB" w:rsidRPr="004116D9" w:rsidRDefault="00095313" w:rsidP="00F71B02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Algorytmiczne nalicze</w:t>
            </w:r>
            <w:r w:rsidR="003D71AC" w:rsidRPr="003D71AC">
              <w:rPr>
                <w:b/>
                <w:sz w:val="18"/>
                <w:szCs w:val="18"/>
              </w:rPr>
              <w:t>nie budżetów przedszkoli i oddziałów przedszkolnych, subwencja dla szkoły - miernikiem ich optymalnej organizacji</w:t>
            </w:r>
            <w:r w:rsidR="003D71AC">
              <w:rPr>
                <w:b/>
                <w:sz w:val="18"/>
                <w:szCs w:val="18"/>
              </w:rPr>
              <w:t>.</w:t>
            </w:r>
          </w:p>
        </w:tc>
      </w:tr>
      <w:tr w:rsidR="00F62EAB" w:rsidRPr="00D30977" w:rsidTr="0038512B">
        <w:tc>
          <w:tcPr>
            <w:tcW w:w="9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AB" w:rsidRPr="00D30977" w:rsidRDefault="00F62EAB" w:rsidP="0038512B">
            <w:pPr>
              <w:spacing w:after="0"/>
              <w:rPr>
                <w:b/>
                <w:sz w:val="8"/>
                <w:szCs w:val="8"/>
              </w:rPr>
            </w:pPr>
          </w:p>
        </w:tc>
      </w:tr>
      <w:tr w:rsidR="00F62EAB" w:rsidRPr="003F51DA" w:rsidTr="0038512B">
        <w:trPr>
          <w:trHeight w:val="30"/>
        </w:trPr>
        <w:tc>
          <w:tcPr>
            <w:tcW w:w="1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tcMar>
              <w:top w:w="15" w:type="dxa"/>
              <w:bottom w:w="15" w:type="dxa"/>
            </w:tcMar>
            <w:vAlign w:val="center"/>
          </w:tcPr>
          <w:p w:rsidR="00F62EAB" w:rsidRPr="00B96E31" w:rsidRDefault="00F62EAB" w:rsidP="00F71B02">
            <w:pPr>
              <w:spacing w:before="60" w:after="60"/>
              <w:rPr>
                <w:sz w:val="16"/>
                <w:szCs w:val="16"/>
              </w:rPr>
            </w:pPr>
            <w:r w:rsidRPr="00B96E31">
              <w:rPr>
                <w:sz w:val="16"/>
                <w:szCs w:val="16"/>
              </w:rPr>
              <w:t>Typ JST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tcMar>
              <w:top w:w="15" w:type="dxa"/>
              <w:bottom w:w="15" w:type="dxa"/>
            </w:tcMar>
            <w:vAlign w:val="center"/>
          </w:tcPr>
          <w:p w:rsidR="00F62EAB" w:rsidRPr="00B96E31" w:rsidRDefault="00F62EAB" w:rsidP="00F71B0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96E31">
              <w:rPr>
                <w:sz w:val="16"/>
                <w:szCs w:val="16"/>
              </w:rPr>
              <w:t xml:space="preserve">Nazwa </w:t>
            </w:r>
            <w:r>
              <w:rPr>
                <w:sz w:val="16"/>
                <w:szCs w:val="16"/>
              </w:rPr>
              <w:t>JST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tcMar>
              <w:top w:w="15" w:type="dxa"/>
              <w:bottom w:w="15" w:type="dxa"/>
            </w:tcMar>
            <w:vAlign w:val="center"/>
          </w:tcPr>
          <w:p w:rsidR="00F62EAB" w:rsidRPr="00B96E31" w:rsidRDefault="00F62EAB" w:rsidP="00F71B0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 mieszkańców</w:t>
            </w:r>
          </w:p>
        </w:tc>
        <w:tc>
          <w:tcPr>
            <w:tcW w:w="472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F62EAB" w:rsidRPr="00B96E31" w:rsidRDefault="00F62EAB" w:rsidP="00F71B02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Obszar tematyczny</w:t>
            </w:r>
          </w:p>
        </w:tc>
      </w:tr>
      <w:tr w:rsidR="00F62EAB" w:rsidRPr="003F51DA" w:rsidTr="009C6869">
        <w:trPr>
          <w:trHeight w:val="454"/>
        </w:trPr>
        <w:sdt>
          <w:sdtPr>
            <w:rPr>
              <w:b/>
              <w:sz w:val="16"/>
              <w:szCs w:val="16"/>
            </w:rPr>
            <w:tag w:val="  "/>
            <w:id w:val="-2100091749"/>
            <w:placeholder>
              <w:docPart w:val="FDD1EF8B3F4B4FEE95FC3297F0577339"/>
            </w:placeholder>
            <w:comboBox>
              <w:listItem w:displayText="______________" w:value="______________"/>
              <w:listItem w:displayText="Gmina wiejska" w:value="Gmina wiejska"/>
              <w:listItem w:displayText="Miasto" w:value="Miasto"/>
              <w:listItem w:displayText="Powiat" w:value="Powiat"/>
            </w:comboBox>
          </w:sdtPr>
          <w:sdtEndPr/>
          <w:sdtContent>
            <w:tc>
              <w:tcPr>
                <w:tcW w:w="153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2EAB" w:rsidRPr="004116D9" w:rsidRDefault="00E57643" w:rsidP="009C6869">
                <w:pPr>
                  <w:spacing w:before="60" w:after="60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Miasto i gmina</w:t>
                </w:r>
              </w:p>
            </w:tc>
          </w:sdtContent>
        </w:sdt>
        <w:tc>
          <w:tcPr>
            <w:tcW w:w="20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EAB" w:rsidRPr="004116D9" w:rsidRDefault="00E57643" w:rsidP="009C6869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 Sępólno Krajeńskie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EAB" w:rsidRPr="00B96E31" w:rsidRDefault="00E57643" w:rsidP="009C6869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15 703</w:t>
            </w:r>
          </w:p>
        </w:tc>
        <w:sdt>
          <w:sdtPr>
            <w:rPr>
              <w:sz w:val="16"/>
              <w:szCs w:val="16"/>
            </w:rPr>
            <w:tag w:val="  "/>
            <w:id w:val="457076288"/>
            <w:placeholder>
              <w:docPart w:val="20C94D8DE68040C6B30A1DA994903033"/>
            </w:placeholder>
            <w:comboBox>
              <w:listItem w:displayText="________________________" w:value="________________________"/>
              <w:listItem w:displayText="1. Diagnozowanie i planowanie" w:value="1. Diagnozowanie i planowanie"/>
              <w:listItem w:displayText="1.a Diagnozowanie lokalnych zasobów, potrzeb i trendów na rynku pracy" w:value="1.a Diagnozowanie lokalnych zasobów, potrzeb i trendów na rynku pracy"/>
              <w:listItem w:displayText="1.b Misja oświaty - formułowanie celów procesu edukacyjnego" w:value="1.b Misja oświaty - formułowanie celów procesu edukacyjnego"/>
              <w:listItem w:displayText="1.c Planowanie usług edukacyjnych - plany strategiczne, roczne, inne" w:value="1.c Planowanie usług edukacyjnych - plany strategiczne, roczne, inne"/>
              <w:listItem w:displayText="1.d Monitorowanie postępów w rozwoju systemu" w:value="1.d Monitorowanie postępów w rozwoju systemu"/>
              <w:listItem w:displayText="2. Zarządzanie zasobami" w:value="2. Zarządzanie zasobami"/>
              <w:listItem w:displayText="2.a Zarządzanie edukacją na poziomie organu prowadzącego" w:value="2.a Zarządzanie edukacją na poziomie organu prowadzącego"/>
              <w:listItem w:displayText="2.b Dyrektor szkoły - rola, kwalifikacje, relacje z organem prowadzącym" w:value="2.b Dyrektor szkoły - rola, kwalifikacje, relacje z organem prowadzącym"/>
              <w:listItem w:displayText="2.c Nauczyciel - kompetencje, motywacja, system wspomagania szkół" w:value="2.c Nauczyciel - kompetencje, motywacja, system wspomagania szkół"/>
              <w:listItem w:displayText="2.d Systemy wsparcia ucznia - doradztwo, osoby o szczególnych potrzebach, wychowawcza funkcja szkoły" w:value="2.d Systemy wsparcia ucznia - doradztwo, osoby o szczególnych potrzebach, wychowawcza funkcja szkoły"/>
              <w:listItem w:displayText="2.e Materialne zasoby systemu - sieć szkół, budynki, wyposażenie, remonty i inwestycje" w:value="2.e Materialne zasoby systemu - sieć szkół, budynki, wyposażenie, remonty i inwestycje"/>
              <w:listItem w:displayText="2.f Zarządzanie finansami oświaty - budżetowanie, analiza kosztów, zewn. źródła finansowania" w:value="2.f Zarządzanie finansami oświaty - budżetowanie, analiza kosztów, zewn. źródła finansowania"/>
              <w:listItem w:displayText="3. Współpraca" w:value="3. Współpraca"/>
              <w:listItem w:displayText="3.a Udział mieszkańców i partnerów w planowaniu rozwoju systemu edukacji" w:value="3.a Udział mieszkańców i partnerów w planowaniu rozwoju systemu edukacji"/>
              <w:listItem w:displayText="3.b Zaangażowanie rodziców i lokalnych partnerów w realizację usług edukacyjnych" w:value="3.b Zaangażowanie rodziców i lokalnych partnerów w realizację usług edukacyjnych"/>
              <w:listItem w:displayText="3.c Włączanie interesariuszy w proces oceny polityki oświatowej" w:value="3.c Włączanie interesariuszy w proces oceny polityki oświatowej"/>
            </w:comboBox>
          </w:sdtPr>
          <w:sdtEndPr/>
          <w:sdtContent>
            <w:tc>
              <w:tcPr>
                <w:tcW w:w="4728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2EAB" w:rsidRPr="00B96E31" w:rsidRDefault="00E57643" w:rsidP="009C6869">
                <w:pPr>
                  <w:spacing w:before="60" w:after="60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2.f Zarządzanie finansami oświaty - budżetowanie, analiza kosztów, zewn. źródła finansowania</w:t>
                </w:r>
              </w:p>
            </w:tc>
          </w:sdtContent>
        </w:sdt>
      </w:tr>
      <w:tr w:rsidR="00F62EAB" w:rsidRPr="00D30977" w:rsidTr="0038512B">
        <w:tc>
          <w:tcPr>
            <w:tcW w:w="9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AB" w:rsidRPr="00D30977" w:rsidRDefault="00F62EAB" w:rsidP="0038512B">
            <w:pPr>
              <w:spacing w:after="0"/>
              <w:rPr>
                <w:sz w:val="8"/>
                <w:szCs w:val="8"/>
              </w:rPr>
            </w:pPr>
          </w:p>
        </w:tc>
      </w:tr>
      <w:tr w:rsidR="00F62EAB" w:rsidRPr="003F51DA" w:rsidTr="0038512B">
        <w:tc>
          <w:tcPr>
            <w:tcW w:w="9901" w:type="dxa"/>
            <w:gridSpan w:val="8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F62EAB" w:rsidRPr="003F51DA" w:rsidRDefault="00F62EAB" w:rsidP="00F71B02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3F51DA">
              <w:rPr>
                <w:b/>
                <w:sz w:val="18"/>
                <w:szCs w:val="18"/>
              </w:rPr>
              <w:t xml:space="preserve">. Opis </w:t>
            </w:r>
            <w:r>
              <w:rPr>
                <w:b/>
                <w:sz w:val="18"/>
                <w:szCs w:val="18"/>
              </w:rPr>
              <w:t>dobrej praktyki</w:t>
            </w:r>
            <w:r w:rsidRPr="003F51DA">
              <w:rPr>
                <w:b/>
                <w:sz w:val="18"/>
                <w:szCs w:val="18"/>
              </w:rPr>
              <w:t>:</w:t>
            </w:r>
          </w:p>
        </w:tc>
      </w:tr>
      <w:tr w:rsidR="007016C6" w:rsidRPr="003F51DA" w:rsidTr="009C6869">
        <w:trPr>
          <w:trHeight w:val="1701"/>
        </w:trPr>
        <w:tc>
          <w:tcPr>
            <w:tcW w:w="1565" w:type="dxa"/>
            <w:gridSpan w:val="2"/>
            <w:shd w:val="clear" w:color="auto" w:fill="EAF1DD" w:themeFill="accent3" w:themeFillTint="33"/>
          </w:tcPr>
          <w:p w:rsidR="007016C6" w:rsidRDefault="007016C6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 Charakterystyka lokalnego systemu</w:t>
            </w:r>
          </w:p>
          <w:p w:rsidR="007016C6" w:rsidRPr="007016C6" w:rsidRDefault="007016C6" w:rsidP="007016C6">
            <w:pPr>
              <w:spacing w:before="60" w:after="60"/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</w:pPr>
            <w:r w:rsidRPr="007016C6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(Gdzie? 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- </w:t>
            </w:r>
            <w:r w:rsidRPr="007016C6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Tylko to co ważne dla zrozumienia rozwiązania)</w:t>
            </w:r>
          </w:p>
        </w:tc>
        <w:tc>
          <w:tcPr>
            <w:tcW w:w="8336" w:type="dxa"/>
            <w:gridSpan w:val="6"/>
            <w:shd w:val="clear" w:color="auto" w:fill="auto"/>
          </w:tcPr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Miejsko – wiejska gmina Sępólno Krajeńskie położona jest w północnej części województwa kujawsko – pomorskiego.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 xml:space="preserve">Jest organem prowadzącym dla 7 szkół podstawowych (2 w mieście, 5 na wsi), 4 gimnazjów (2 w mieście, 2 na wsi), oraz 2 przedszkoli miejskich. 4 szkoły podstawowe i 4 gimnazja były dotąd połączone w zespoły szkół. W każdej ze szkół podstawowych są też oddziały przedszkolne (1 lub 2). Do szkół i przedszkoli obecnie uczęszcza ok. 1900 dzieci i uczniów. 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Uzupełnieniem sieci przedszkolnej na terenach wiejskich są funkcjonujące od 2001 r. w świetlicach wiejskich, poza systemem oświaty, 3 Ośrodki Edukacji Przedszkolnej (</w:t>
            </w:r>
            <w:proofErr w:type="spellStart"/>
            <w:r w:rsidRPr="0090200D">
              <w:rPr>
                <w:sz w:val="18"/>
                <w:szCs w:val="18"/>
              </w:rPr>
              <w:t>Artiki</w:t>
            </w:r>
            <w:proofErr w:type="spellEnd"/>
            <w:r w:rsidRPr="0090200D">
              <w:rPr>
                <w:sz w:val="18"/>
                <w:szCs w:val="18"/>
              </w:rPr>
              <w:t>) nadzorowane przez Centrum Kultury i Sztuki. Z ich usług korzysta obecnie ok. 50 dzieci.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Od kilku lat w Sępólnie Krajeńskim funkcjonuje także Centrum Małego Dziecka i Rodziny (żłobek, klub dziecięcy, opiekunowie dzienni) dający pełną lub częściową opiekę dla ok. 115 dzieci.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Wszystkie placówki oświatowe od 18 lat obsługiwane są przez Zakład Obsługi Oświaty Samorządowej. Jednostka ta realizuje ich pełną obsługę finansową, kadrową, płacową, statystyczną, organizacyjną, a ponadto wykonuje zadania organu prowadzącego, w granicach posiadanych upoważnień.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 xml:space="preserve">W naszych szkołach i przedszkolach zatrudnionych jest ok. 150 nauczycieli. 73 % z nich to n-le dyplomowani, 17 % mianowani, pozostali to n-le kontraktowi i stażyści. Wszyscy n-le na terenach wiejskich mają kwalifikacje do nauczania 2 – 3 przedmiotów. </w:t>
            </w:r>
          </w:p>
          <w:p w:rsidR="0090200D" w:rsidRPr="0090200D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Od 2000</w:t>
            </w:r>
            <w:r w:rsidR="006C0FAA">
              <w:rPr>
                <w:sz w:val="18"/>
                <w:szCs w:val="18"/>
              </w:rPr>
              <w:t xml:space="preserve"> </w:t>
            </w:r>
            <w:r w:rsidRPr="0090200D">
              <w:rPr>
                <w:sz w:val="18"/>
                <w:szCs w:val="18"/>
              </w:rPr>
              <w:t>r. gmina Sępólno Krajeńskie nie zlikwidowała żadnej ze szkół.</w:t>
            </w:r>
          </w:p>
          <w:p w:rsidR="007016C6" w:rsidRDefault="0090200D" w:rsidP="0090200D">
            <w:pPr>
              <w:spacing w:before="45" w:after="45"/>
              <w:jc w:val="both"/>
              <w:rPr>
                <w:sz w:val="18"/>
                <w:szCs w:val="18"/>
              </w:rPr>
            </w:pPr>
            <w:r w:rsidRPr="0090200D">
              <w:rPr>
                <w:sz w:val="18"/>
                <w:szCs w:val="18"/>
              </w:rPr>
              <w:t>Na terenie gminy nie ma żadnej placówki niepublicznej.</w:t>
            </w:r>
          </w:p>
        </w:tc>
      </w:tr>
      <w:tr w:rsidR="00F62EAB" w:rsidRPr="003F51DA" w:rsidTr="001A49DA">
        <w:trPr>
          <w:trHeight w:val="3483"/>
        </w:trPr>
        <w:tc>
          <w:tcPr>
            <w:tcW w:w="1565" w:type="dxa"/>
            <w:gridSpan w:val="2"/>
            <w:shd w:val="clear" w:color="auto" w:fill="EAF1DD" w:themeFill="accent3" w:themeFillTint="33"/>
          </w:tcPr>
          <w:p w:rsidR="00F62EAB" w:rsidRPr="007E5C6E" w:rsidRDefault="007016C6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  <w:r w:rsidR="00F62EAB" w:rsidRPr="007E5C6E">
              <w:rPr>
                <w:sz w:val="18"/>
                <w:szCs w:val="18"/>
              </w:rPr>
              <w:t xml:space="preserve"> Problem, który był powodem wdrożenia innowacji.</w:t>
            </w:r>
          </w:p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(Dlaczego?)</w:t>
            </w:r>
          </w:p>
          <w:p w:rsidR="00F62EAB" w:rsidRPr="007E5C6E" w:rsidRDefault="00F62EAB" w:rsidP="00F71B02">
            <w:pPr>
              <w:suppressAutoHyphens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336" w:type="dxa"/>
            <w:gridSpan w:val="6"/>
            <w:shd w:val="clear" w:color="auto" w:fill="auto"/>
          </w:tcPr>
          <w:p w:rsidR="009B5496" w:rsidRPr="009B5496" w:rsidRDefault="009B5496" w:rsidP="00FF320D">
            <w:pPr>
              <w:pStyle w:val="Akapitzlist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Przedszkola</w:t>
            </w:r>
            <w:r w:rsidR="00D913E1">
              <w:rPr>
                <w:sz w:val="18"/>
                <w:szCs w:val="18"/>
              </w:rPr>
              <w:t xml:space="preserve"> i oddziały przedszkolne w szkołach</w:t>
            </w:r>
          </w:p>
          <w:p w:rsidR="00B73408" w:rsidRPr="009B5496" w:rsidRDefault="00B73408" w:rsidP="00A13E11">
            <w:pPr>
              <w:spacing w:after="0"/>
              <w:jc w:val="both"/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Likwidacja przedszkoli w PGR</w:t>
            </w:r>
            <w:r w:rsidR="00006968">
              <w:rPr>
                <w:sz w:val="18"/>
                <w:szCs w:val="18"/>
              </w:rPr>
              <w:t xml:space="preserve"> w latach 90.</w:t>
            </w:r>
            <w:r w:rsidRPr="009B5496">
              <w:rPr>
                <w:sz w:val="18"/>
                <w:szCs w:val="18"/>
              </w:rPr>
              <w:t xml:space="preserve">, przeniesienie ciężaru ich prowadzenia </w:t>
            </w:r>
            <w:r w:rsidR="009B5496">
              <w:rPr>
                <w:sz w:val="18"/>
                <w:szCs w:val="18"/>
              </w:rPr>
              <w:t>na samorządy</w:t>
            </w:r>
            <w:r w:rsidRPr="009B5496">
              <w:rPr>
                <w:sz w:val="18"/>
                <w:szCs w:val="18"/>
              </w:rPr>
              <w:t>, wysokie koszty</w:t>
            </w:r>
            <w:r w:rsidR="009B5496">
              <w:rPr>
                <w:sz w:val="18"/>
                <w:szCs w:val="18"/>
              </w:rPr>
              <w:t xml:space="preserve"> ich utrzymania</w:t>
            </w:r>
            <w:r w:rsidR="000E5870">
              <w:rPr>
                <w:sz w:val="18"/>
                <w:szCs w:val="18"/>
              </w:rPr>
              <w:t xml:space="preserve"> sprawiły, że w 2000</w:t>
            </w:r>
            <w:r w:rsidR="009B5496">
              <w:rPr>
                <w:sz w:val="18"/>
                <w:szCs w:val="18"/>
              </w:rPr>
              <w:t xml:space="preserve"> </w:t>
            </w:r>
            <w:r w:rsidRPr="009B5496">
              <w:rPr>
                <w:sz w:val="18"/>
                <w:szCs w:val="18"/>
              </w:rPr>
              <w:t>r. dokonaliśmy</w:t>
            </w:r>
            <w:r w:rsidR="00D57AB8">
              <w:rPr>
                <w:sz w:val="18"/>
                <w:szCs w:val="18"/>
              </w:rPr>
              <w:t xml:space="preserve"> porównania</w:t>
            </w:r>
            <w:r w:rsidR="009B5496">
              <w:rPr>
                <w:sz w:val="18"/>
                <w:szCs w:val="18"/>
              </w:rPr>
              <w:t xml:space="preserve"> wydatków ponoszonych</w:t>
            </w:r>
            <w:r w:rsidRPr="009B5496">
              <w:rPr>
                <w:sz w:val="18"/>
                <w:szCs w:val="18"/>
              </w:rPr>
              <w:t xml:space="preserve"> w </w:t>
            </w:r>
            <w:r w:rsidR="009B5496">
              <w:rPr>
                <w:sz w:val="18"/>
                <w:szCs w:val="18"/>
              </w:rPr>
              <w:t xml:space="preserve">naszych </w:t>
            </w:r>
            <w:r w:rsidRPr="009B5496">
              <w:rPr>
                <w:sz w:val="18"/>
                <w:szCs w:val="18"/>
              </w:rPr>
              <w:t xml:space="preserve">przedszkolach i </w:t>
            </w:r>
            <w:r w:rsidR="009B5496">
              <w:rPr>
                <w:sz w:val="18"/>
                <w:szCs w:val="18"/>
              </w:rPr>
              <w:t>ościennych gminach</w:t>
            </w:r>
            <w:r w:rsidRPr="009B5496">
              <w:rPr>
                <w:sz w:val="18"/>
                <w:szCs w:val="18"/>
              </w:rPr>
              <w:t xml:space="preserve">. </w:t>
            </w:r>
            <w:r w:rsidR="00C76491">
              <w:rPr>
                <w:sz w:val="18"/>
                <w:szCs w:val="18"/>
              </w:rPr>
              <w:t xml:space="preserve">Zrozumieliśmy, że </w:t>
            </w:r>
            <w:r w:rsidR="00D57AB8">
              <w:rPr>
                <w:sz w:val="18"/>
                <w:szCs w:val="18"/>
              </w:rPr>
              <w:t xml:space="preserve">wydajemy dużo. </w:t>
            </w:r>
            <w:r w:rsidRPr="009B5496">
              <w:rPr>
                <w:sz w:val="18"/>
                <w:szCs w:val="18"/>
              </w:rPr>
              <w:t xml:space="preserve">W </w:t>
            </w:r>
            <w:r w:rsidR="00E00F04">
              <w:rPr>
                <w:sz w:val="18"/>
                <w:szCs w:val="18"/>
              </w:rPr>
              <w:t>naszej g</w:t>
            </w:r>
            <w:r w:rsidR="009B5496">
              <w:rPr>
                <w:sz w:val="18"/>
                <w:szCs w:val="18"/>
              </w:rPr>
              <w:t>minie</w:t>
            </w:r>
            <w:r w:rsidRPr="009B5496">
              <w:rPr>
                <w:sz w:val="18"/>
                <w:szCs w:val="18"/>
              </w:rPr>
              <w:t xml:space="preserve"> występowało także znaczne zróżnicowanie kosztów przedszkoli.</w:t>
            </w:r>
          </w:p>
          <w:p w:rsidR="009B5496" w:rsidRPr="001A49DA" w:rsidRDefault="009B5496" w:rsidP="00FF320D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Drugim probleme</w:t>
            </w:r>
            <w:r w:rsidR="00D913E1">
              <w:rPr>
                <w:sz w:val="18"/>
                <w:szCs w:val="18"/>
              </w:rPr>
              <w:t>m były kontrowersje związane</w:t>
            </w:r>
            <w:r>
              <w:rPr>
                <w:sz w:val="18"/>
                <w:szCs w:val="18"/>
              </w:rPr>
              <w:t xml:space="preserve"> z pokrywaniem</w:t>
            </w:r>
            <w:r w:rsidR="00D913E1">
              <w:rPr>
                <w:sz w:val="18"/>
                <w:szCs w:val="18"/>
              </w:rPr>
              <w:t xml:space="preserve"> z budżetów szkół</w:t>
            </w:r>
            <w:r w:rsidR="00B73408" w:rsidRPr="00B73408">
              <w:rPr>
                <w:sz w:val="18"/>
                <w:szCs w:val="18"/>
              </w:rPr>
              <w:t xml:space="preserve"> wydatków rzeczowych w </w:t>
            </w:r>
            <w:r w:rsidR="00D913E1">
              <w:rPr>
                <w:sz w:val="18"/>
                <w:szCs w:val="18"/>
              </w:rPr>
              <w:t xml:space="preserve">funkcjonujących w nich </w:t>
            </w:r>
            <w:r w:rsidR="00B73408" w:rsidRPr="00B73408">
              <w:rPr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działach przedszkolnych. </w:t>
            </w:r>
            <w:r w:rsidR="00B73408" w:rsidRPr="00B73408">
              <w:rPr>
                <w:sz w:val="18"/>
                <w:szCs w:val="18"/>
              </w:rPr>
              <w:t>Wdrożona w szkołach s</w:t>
            </w:r>
            <w:r w:rsidR="00D57AB8">
              <w:rPr>
                <w:sz w:val="18"/>
                <w:szCs w:val="18"/>
              </w:rPr>
              <w:t>tandaryzacja wymuszała dokonanie</w:t>
            </w:r>
            <w:r w:rsidR="00B73408" w:rsidRPr="00B73408">
              <w:rPr>
                <w:sz w:val="18"/>
                <w:szCs w:val="18"/>
              </w:rPr>
              <w:t xml:space="preserve"> również w d</w:t>
            </w:r>
            <w:r>
              <w:rPr>
                <w:sz w:val="18"/>
                <w:szCs w:val="18"/>
              </w:rPr>
              <w:t>ziedzinie finansowania oddziałów</w:t>
            </w:r>
            <w:r w:rsidR="00D57AB8">
              <w:rPr>
                <w:sz w:val="18"/>
                <w:szCs w:val="18"/>
              </w:rPr>
              <w:t xml:space="preserve"> przedszkolnych istotnej</w:t>
            </w:r>
            <w:r w:rsidR="00B73408" w:rsidRPr="00B73408">
              <w:rPr>
                <w:sz w:val="18"/>
                <w:szCs w:val="18"/>
              </w:rPr>
              <w:t xml:space="preserve"> zmiany.</w:t>
            </w:r>
          </w:p>
          <w:p w:rsidR="009B5496" w:rsidRPr="009B5496" w:rsidRDefault="009B5496" w:rsidP="00FF320D">
            <w:pPr>
              <w:pStyle w:val="Akapitzlist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Szkoły</w:t>
            </w:r>
          </w:p>
          <w:p w:rsidR="00B73408" w:rsidRPr="009B5496" w:rsidRDefault="000C4291" w:rsidP="009D5DD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Problemem,</w:t>
            </w:r>
            <w:r w:rsidR="00C074DB" w:rsidRPr="009B5496">
              <w:rPr>
                <w:sz w:val="18"/>
                <w:szCs w:val="18"/>
              </w:rPr>
              <w:t xml:space="preserve"> z jakim borykała się </w:t>
            </w:r>
            <w:r w:rsidR="00E00F04">
              <w:rPr>
                <w:sz w:val="18"/>
                <w:szCs w:val="18"/>
              </w:rPr>
              <w:t>oświata g</w:t>
            </w:r>
            <w:r w:rsidR="00DC6587">
              <w:rPr>
                <w:sz w:val="18"/>
                <w:szCs w:val="18"/>
              </w:rPr>
              <w:t>miny Sępólno Krajeńskie</w:t>
            </w:r>
            <w:r w:rsidR="005047D9">
              <w:rPr>
                <w:sz w:val="18"/>
                <w:szCs w:val="18"/>
              </w:rPr>
              <w:t xml:space="preserve"> w </w:t>
            </w:r>
            <w:r w:rsidR="00D57AB8">
              <w:rPr>
                <w:sz w:val="18"/>
                <w:szCs w:val="18"/>
              </w:rPr>
              <w:t>końcu lat</w:t>
            </w:r>
            <w:r w:rsidR="005047D9">
              <w:rPr>
                <w:sz w:val="18"/>
                <w:szCs w:val="18"/>
              </w:rPr>
              <w:t xml:space="preserve"> 90.</w:t>
            </w:r>
            <w:r w:rsidR="00DA64D2">
              <w:rPr>
                <w:sz w:val="18"/>
                <w:szCs w:val="18"/>
              </w:rPr>
              <w:t>,</w:t>
            </w:r>
            <w:r w:rsidR="00C074DB" w:rsidRPr="009B5496">
              <w:rPr>
                <w:sz w:val="18"/>
                <w:szCs w:val="18"/>
              </w:rPr>
              <w:t xml:space="preserve"> była </w:t>
            </w:r>
            <w:r w:rsidR="00A12473">
              <w:rPr>
                <w:sz w:val="18"/>
                <w:szCs w:val="18"/>
              </w:rPr>
              <w:t xml:space="preserve">dalece </w:t>
            </w:r>
            <w:r w:rsidR="00C074DB" w:rsidRPr="009B5496">
              <w:rPr>
                <w:sz w:val="18"/>
                <w:szCs w:val="18"/>
              </w:rPr>
              <w:t xml:space="preserve">niewystarczająca subwencja oświatowa. </w:t>
            </w:r>
            <w:r w:rsidR="009D5DD9">
              <w:rPr>
                <w:sz w:val="18"/>
                <w:szCs w:val="18"/>
              </w:rPr>
              <w:t>Narastały liczne zobowiązania</w:t>
            </w:r>
            <w:r w:rsidR="00095313">
              <w:rPr>
                <w:sz w:val="18"/>
                <w:szCs w:val="18"/>
              </w:rPr>
              <w:t xml:space="preserve"> finansowe</w:t>
            </w:r>
            <w:r w:rsidR="000C0B2F">
              <w:rPr>
                <w:sz w:val="18"/>
                <w:szCs w:val="18"/>
              </w:rPr>
              <w:t xml:space="preserve">. </w:t>
            </w:r>
            <w:r w:rsidR="00C074DB" w:rsidRPr="009B5496">
              <w:rPr>
                <w:sz w:val="18"/>
                <w:szCs w:val="18"/>
              </w:rPr>
              <w:t xml:space="preserve">Jednak na pytanie „Czemu pieniędzy nie wystarcza ?” - padały sprzeczne odpowiedzi. Aby zoptymalizować wydatki poszczególnych szkół, wymagać racjonalizacji od tych, które wydają za dużo, </w:t>
            </w:r>
            <w:r w:rsidR="00D57AB8">
              <w:rPr>
                <w:sz w:val="18"/>
                <w:szCs w:val="18"/>
              </w:rPr>
              <w:t xml:space="preserve">innym </w:t>
            </w:r>
            <w:r w:rsidR="00C074DB" w:rsidRPr="009B5496">
              <w:rPr>
                <w:sz w:val="18"/>
                <w:szCs w:val="18"/>
              </w:rPr>
              <w:t xml:space="preserve">dać możliwość korzystania z należnej </w:t>
            </w:r>
            <w:r w:rsidR="00D57AB8">
              <w:rPr>
                <w:sz w:val="18"/>
                <w:szCs w:val="18"/>
              </w:rPr>
              <w:t>ich</w:t>
            </w:r>
            <w:r w:rsidR="00D913E1">
              <w:rPr>
                <w:sz w:val="18"/>
                <w:szCs w:val="18"/>
              </w:rPr>
              <w:t xml:space="preserve"> </w:t>
            </w:r>
            <w:r w:rsidR="00C074DB" w:rsidRPr="009B5496">
              <w:rPr>
                <w:sz w:val="18"/>
                <w:szCs w:val="18"/>
              </w:rPr>
              <w:t>szkole subwencji</w:t>
            </w:r>
            <w:r w:rsidR="00D57AB8">
              <w:rPr>
                <w:sz w:val="18"/>
                <w:szCs w:val="18"/>
              </w:rPr>
              <w:t>,</w:t>
            </w:r>
            <w:r w:rsidR="00C074DB" w:rsidRPr="009B5496">
              <w:rPr>
                <w:sz w:val="18"/>
                <w:szCs w:val="18"/>
              </w:rPr>
              <w:t xml:space="preserve"> trzeba było </w:t>
            </w:r>
            <w:r w:rsidR="00CD05E4">
              <w:rPr>
                <w:sz w:val="18"/>
                <w:szCs w:val="18"/>
              </w:rPr>
              <w:t xml:space="preserve">przynajmniej </w:t>
            </w:r>
            <w:r w:rsidR="00C074DB" w:rsidRPr="009B5496">
              <w:rPr>
                <w:sz w:val="18"/>
                <w:szCs w:val="18"/>
              </w:rPr>
              <w:t xml:space="preserve">sprawdzić, która ze szkół </w:t>
            </w:r>
            <w:r w:rsidR="00D57AB8">
              <w:rPr>
                <w:sz w:val="18"/>
                <w:szCs w:val="18"/>
              </w:rPr>
              <w:t>się w niej mieści</w:t>
            </w:r>
            <w:r w:rsidR="00C074DB" w:rsidRPr="009B5496">
              <w:rPr>
                <w:sz w:val="18"/>
                <w:szCs w:val="18"/>
              </w:rPr>
              <w:t>, a która n</w:t>
            </w:r>
            <w:r w:rsidR="00D57AB8">
              <w:rPr>
                <w:sz w:val="18"/>
                <w:szCs w:val="18"/>
              </w:rPr>
              <w:t>ie</w:t>
            </w:r>
            <w:r w:rsidR="00C074DB" w:rsidRPr="009B5496">
              <w:rPr>
                <w:sz w:val="18"/>
                <w:szCs w:val="18"/>
              </w:rPr>
              <w:t>. Bez tego trudno było - w poczuciu tworzenia równych szans - racjonalizować wydatki i planować je strategicznie.</w:t>
            </w:r>
            <w:r w:rsidR="009D5DD9">
              <w:rPr>
                <w:sz w:val="18"/>
                <w:szCs w:val="18"/>
              </w:rPr>
              <w:t xml:space="preserve"> To był dobry moment na wdrożenie zmiany.</w:t>
            </w:r>
          </w:p>
        </w:tc>
      </w:tr>
      <w:tr w:rsidR="00F62EAB" w:rsidRPr="003F51DA" w:rsidTr="00D913E1">
        <w:trPr>
          <w:trHeight w:val="1374"/>
        </w:trPr>
        <w:tc>
          <w:tcPr>
            <w:tcW w:w="1565" w:type="dxa"/>
            <w:gridSpan w:val="2"/>
            <w:shd w:val="clear" w:color="auto" w:fill="EAF1DD" w:themeFill="accent3" w:themeFillTint="33"/>
          </w:tcPr>
          <w:p w:rsidR="00F62EAB" w:rsidRPr="007E5C6E" w:rsidRDefault="003D4474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  <w:r w:rsidR="00F62EAB" w:rsidRPr="007E5C6E">
              <w:rPr>
                <w:sz w:val="18"/>
                <w:szCs w:val="18"/>
              </w:rPr>
              <w:t xml:space="preserve"> Na czym polega zastosowane rozwiązanie?</w:t>
            </w:r>
          </w:p>
          <w:p w:rsidR="00F62EAB" w:rsidRDefault="00F62EAB" w:rsidP="00F71B02">
            <w:pPr>
              <w:spacing w:before="60" w:after="60"/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</w:pP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(Co?)</w:t>
            </w:r>
          </w:p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shd w:val="clear" w:color="auto" w:fill="auto"/>
          </w:tcPr>
          <w:p w:rsidR="00B73408" w:rsidRPr="006B43F3" w:rsidRDefault="009B5496" w:rsidP="006B43F3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Przedszkola</w:t>
            </w:r>
            <w:r w:rsidR="00D913E1">
              <w:rPr>
                <w:sz w:val="18"/>
                <w:szCs w:val="18"/>
              </w:rPr>
              <w:t xml:space="preserve"> i oddziały przedszkolne w szkołach</w:t>
            </w:r>
          </w:p>
          <w:p w:rsidR="006B43F3" w:rsidRPr="00725183" w:rsidRDefault="00A3758A" w:rsidP="00725183">
            <w:pPr>
              <w:pStyle w:val="Akapitzlist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456851">
              <w:rPr>
                <w:sz w:val="18"/>
                <w:szCs w:val="18"/>
              </w:rPr>
              <w:t>W p</w:t>
            </w:r>
            <w:r w:rsidR="00B73408" w:rsidRPr="00456851">
              <w:rPr>
                <w:sz w:val="18"/>
                <w:szCs w:val="18"/>
              </w:rPr>
              <w:t>rzedszkola</w:t>
            </w:r>
            <w:r w:rsidRPr="00456851">
              <w:rPr>
                <w:sz w:val="18"/>
                <w:szCs w:val="18"/>
              </w:rPr>
              <w:t>ch</w:t>
            </w:r>
            <w:r w:rsidR="00F71184">
              <w:rPr>
                <w:sz w:val="18"/>
                <w:szCs w:val="18"/>
              </w:rPr>
              <w:t>, już</w:t>
            </w:r>
            <w:r w:rsidR="00A12473">
              <w:rPr>
                <w:sz w:val="18"/>
                <w:szCs w:val="18"/>
              </w:rPr>
              <w:t xml:space="preserve"> na etapie tworzenia</w:t>
            </w:r>
            <w:r w:rsidR="00E9281C">
              <w:rPr>
                <w:sz w:val="18"/>
                <w:szCs w:val="18"/>
              </w:rPr>
              <w:t xml:space="preserve"> jego budżetu przyjęliśmy zasadę</w:t>
            </w:r>
            <w:r w:rsidR="00B73408" w:rsidRPr="00456851">
              <w:rPr>
                <w:sz w:val="18"/>
                <w:szCs w:val="18"/>
              </w:rPr>
              <w:t xml:space="preserve">: </w:t>
            </w:r>
            <w:r w:rsidR="00B73408" w:rsidRPr="00095313">
              <w:rPr>
                <w:i/>
                <w:sz w:val="18"/>
                <w:szCs w:val="18"/>
              </w:rPr>
              <w:t>„Pieniądz idzie za dzieckiem do przedszkola”</w:t>
            </w:r>
            <w:r w:rsidR="00B73408" w:rsidRPr="00456851">
              <w:rPr>
                <w:sz w:val="18"/>
                <w:szCs w:val="18"/>
              </w:rPr>
              <w:t xml:space="preserve">. </w:t>
            </w:r>
            <w:r w:rsidR="00F71184">
              <w:rPr>
                <w:sz w:val="18"/>
                <w:szCs w:val="18"/>
              </w:rPr>
              <w:t xml:space="preserve">Uznaliśmy, że </w:t>
            </w:r>
            <w:r w:rsidR="008A691E">
              <w:rPr>
                <w:sz w:val="18"/>
                <w:szCs w:val="18"/>
              </w:rPr>
              <w:t xml:space="preserve">przyjęta </w:t>
            </w:r>
            <w:r w:rsidR="00F71184">
              <w:rPr>
                <w:sz w:val="18"/>
                <w:szCs w:val="18"/>
              </w:rPr>
              <w:t>realna, roczna kwota na utrzymanie dzie</w:t>
            </w:r>
            <w:r w:rsidR="00D57AB8">
              <w:rPr>
                <w:sz w:val="18"/>
                <w:szCs w:val="18"/>
              </w:rPr>
              <w:t>cka, zwiększająca się proporcjonalnie</w:t>
            </w:r>
            <w:r w:rsidR="00F71184">
              <w:rPr>
                <w:sz w:val="18"/>
                <w:szCs w:val="18"/>
              </w:rPr>
              <w:t xml:space="preserve"> do </w:t>
            </w:r>
            <w:r w:rsidR="00D65B69">
              <w:rPr>
                <w:sz w:val="18"/>
                <w:szCs w:val="18"/>
              </w:rPr>
              <w:t>liczby dzieci – stanowiąca budżet</w:t>
            </w:r>
            <w:r w:rsidR="009D5DD9">
              <w:rPr>
                <w:sz w:val="18"/>
                <w:szCs w:val="18"/>
              </w:rPr>
              <w:t xml:space="preserve"> przedszkola oraz możliwość wykorzystania oszczędności budżetowych na cele statutowe</w:t>
            </w:r>
            <w:r w:rsidR="00DA64D2">
              <w:rPr>
                <w:sz w:val="18"/>
                <w:szCs w:val="18"/>
              </w:rPr>
              <w:t xml:space="preserve"> - najskuteczniej wymusi</w:t>
            </w:r>
            <w:r w:rsidR="008A691E">
              <w:rPr>
                <w:sz w:val="18"/>
                <w:szCs w:val="18"/>
              </w:rPr>
              <w:t xml:space="preserve"> racjonalizację wydatków. </w:t>
            </w:r>
            <w:r w:rsidR="00E9281C">
              <w:rPr>
                <w:sz w:val="18"/>
                <w:szCs w:val="18"/>
              </w:rPr>
              <w:t>Tym samym m</w:t>
            </w:r>
            <w:r w:rsidR="006B43F3" w:rsidRPr="00725183">
              <w:rPr>
                <w:sz w:val="18"/>
                <w:szCs w:val="18"/>
              </w:rPr>
              <w:t>aksymalne ramy budżetu przedszkola tworzy iloczyn trzech liczb:</w:t>
            </w:r>
          </w:p>
          <w:p w:rsidR="006B43F3" w:rsidRDefault="00A12473" w:rsidP="00A12473">
            <w:pPr>
              <w:spacing w:after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Budżet Przedszkola = L dz.</w:t>
            </w:r>
            <w:r w:rsidR="006B43F3" w:rsidRPr="00A13E11">
              <w:rPr>
                <w:i/>
                <w:sz w:val="18"/>
                <w:szCs w:val="18"/>
              </w:rPr>
              <w:t xml:space="preserve"> x A x 1,7</w:t>
            </w:r>
          </w:p>
          <w:p w:rsidR="00A12473" w:rsidRDefault="006B43F3" w:rsidP="00C13990">
            <w:pPr>
              <w:spacing w:after="0"/>
              <w:jc w:val="both"/>
              <w:rPr>
                <w:sz w:val="18"/>
                <w:szCs w:val="18"/>
              </w:rPr>
            </w:pPr>
            <w:r w:rsidRPr="00A12473">
              <w:rPr>
                <w:sz w:val="18"/>
                <w:szCs w:val="18"/>
              </w:rPr>
              <w:t xml:space="preserve">gdzie: </w:t>
            </w:r>
          </w:p>
          <w:p w:rsidR="00A12473" w:rsidRPr="00A12473" w:rsidRDefault="00A12473" w:rsidP="00A12473">
            <w:pPr>
              <w:spacing w:after="0"/>
              <w:jc w:val="both"/>
              <w:rPr>
                <w:i/>
                <w:sz w:val="18"/>
                <w:szCs w:val="18"/>
              </w:rPr>
            </w:pPr>
            <w:r w:rsidRPr="00A12473">
              <w:rPr>
                <w:i/>
                <w:sz w:val="18"/>
                <w:szCs w:val="18"/>
              </w:rPr>
              <w:t xml:space="preserve">L.dz. </w:t>
            </w:r>
            <w:r w:rsidR="00E9281C">
              <w:rPr>
                <w:i/>
                <w:sz w:val="18"/>
                <w:szCs w:val="18"/>
              </w:rPr>
              <w:t xml:space="preserve">  </w:t>
            </w:r>
            <w:r w:rsidRPr="00A12473">
              <w:rPr>
                <w:i/>
                <w:sz w:val="18"/>
                <w:szCs w:val="18"/>
              </w:rPr>
              <w:t>- liczba dzieci uczęszczających do wielogodzinnych oddzi</w:t>
            </w:r>
            <w:r w:rsidR="006C0FAA">
              <w:rPr>
                <w:i/>
                <w:sz w:val="18"/>
                <w:szCs w:val="18"/>
              </w:rPr>
              <w:t>ałów przedszkola wg SIO na 30.09</w:t>
            </w:r>
            <w:r w:rsidRPr="00A12473">
              <w:rPr>
                <w:i/>
                <w:sz w:val="18"/>
                <w:szCs w:val="18"/>
              </w:rPr>
              <w:t>;</w:t>
            </w:r>
          </w:p>
          <w:p w:rsidR="00725183" w:rsidRDefault="00A12473" w:rsidP="00A12473">
            <w:pPr>
              <w:spacing w:after="0"/>
              <w:jc w:val="both"/>
              <w:rPr>
                <w:i/>
                <w:sz w:val="18"/>
                <w:szCs w:val="18"/>
              </w:rPr>
            </w:pPr>
            <w:r w:rsidRPr="00A12473">
              <w:rPr>
                <w:i/>
                <w:sz w:val="18"/>
                <w:szCs w:val="18"/>
              </w:rPr>
              <w:t xml:space="preserve">A </w:t>
            </w:r>
            <w:r w:rsidR="00C13990">
              <w:rPr>
                <w:i/>
                <w:sz w:val="18"/>
                <w:szCs w:val="18"/>
              </w:rPr>
              <w:t xml:space="preserve">     </w:t>
            </w:r>
            <w:r w:rsidR="00E9281C">
              <w:rPr>
                <w:i/>
                <w:sz w:val="18"/>
                <w:szCs w:val="18"/>
              </w:rPr>
              <w:t xml:space="preserve">  </w:t>
            </w:r>
            <w:r w:rsidRPr="00A12473">
              <w:rPr>
                <w:i/>
                <w:sz w:val="18"/>
                <w:szCs w:val="18"/>
              </w:rPr>
              <w:t xml:space="preserve">- standard finansowy określany corocznie przez MEN </w:t>
            </w:r>
            <w:r>
              <w:rPr>
                <w:i/>
                <w:sz w:val="18"/>
                <w:szCs w:val="18"/>
              </w:rPr>
              <w:t xml:space="preserve">dla </w:t>
            </w:r>
            <w:r w:rsidR="00C13990">
              <w:rPr>
                <w:i/>
                <w:sz w:val="18"/>
                <w:szCs w:val="18"/>
              </w:rPr>
              <w:t>uczniów szkół</w:t>
            </w:r>
            <w:r w:rsidR="006B43F3" w:rsidRPr="00A12473">
              <w:rPr>
                <w:i/>
                <w:sz w:val="18"/>
                <w:szCs w:val="18"/>
              </w:rPr>
              <w:t>;</w:t>
            </w:r>
            <w:r w:rsidRPr="00A12473">
              <w:rPr>
                <w:i/>
                <w:sz w:val="18"/>
                <w:szCs w:val="18"/>
              </w:rPr>
              <w:t xml:space="preserve"> </w:t>
            </w:r>
          </w:p>
          <w:p w:rsidR="00725183" w:rsidRDefault="00E9281C" w:rsidP="00725183">
            <w:pPr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1,7  </w:t>
            </w:r>
            <w:r w:rsidR="00C13990">
              <w:rPr>
                <w:i/>
                <w:sz w:val="18"/>
                <w:szCs w:val="18"/>
              </w:rPr>
              <w:t>-</w:t>
            </w:r>
            <w:r w:rsidR="003E290E">
              <w:rPr>
                <w:i/>
                <w:sz w:val="18"/>
                <w:szCs w:val="18"/>
              </w:rPr>
              <w:t xml:space="preserve"> </w:t>
            </w:r>
            <w:r w:rsidR="006B43F3" w:rsidRPr="00A12473">
              <w:rPr>
                <w:i/>
                <w:sz w:val="18"/>
                <w:szCs w:val="18"/>
              </w:rPr>
              <w:t>m</w:t>
            </w:r>
            <w:r w:rsidR="00B73408" w:rsidRPr="00A12473">
              <w:rPr>
                <w:i/>
                <w:sz w:val="18"/>
                <w:szCs w:val="18"/>
              </w:rPr>
              <w:t xml:space="preserve">nożnik </w:t>
            </w:r>
            <w:r w:rsidR="00725183">
              <w:rPr>
                <w:i/>
                <w:sz w:val="18"/>
                <w:szCs w:val="18"/>
              </w:rPr>
              <w:t>zwiększający kwotę</w:t>
            </w:r>
            <w:r w:rsidR="00B73408" w:rsidRPr="00A12473">
              <w:rPr>
                <w:i/>
                <w:sz w:val="18"/>
                <w:szCs w:val="18"/>
              </w:rPr>
              <w:t xml:space="preserve"> </w:t>
            </w:r>
            <w:r w:rsidR="00725183">
              <w:rPr>
                <w:i/>
                <w:sz w:val="18"/>
                <w:szCs w:val="18"/>
              </w:rPr>
              <w:t>bazową</w:t>
            </w:r>
            <w:r w:rsidR="00C13990">
              <w:rPr>
                <w:i/>
                <w:sz w:val="18"/>
                <w:szCs w:val="18"/>
              </w:rPr>
              <w:t xml:space="preserve"> dla dziecka</w:t>
            </w:r>
            <w:r w:rsidR="00725183">
              <w:rPr>
                <w:i/>
                <w:sz w:val="18"/>
                <w:szCs w:val="18"/>
              </w:rPr>
              <w:t xml:space="preserve"> do </w:t>
            </w:r>
            <w:r w:rsidR="00C13990">
              <w:rPr>
                <w:i/>
                <w:sz w:val="18"/>
                <w:szCs w:val="18"/>
              </w:rPr>
              <w:t>realnych</w:t>
            </w:r>
            <w:r>
              <w:rPr>
                <w:i/>
                <w:sz w:val="18"/>
                <w:szCs w:val="18"/>
              </w:rPr>
              <w:t>, zbadanych</w:t>
            </w:r>
            <w:r w:rsidR="00C13990">
              <w:rPr>
                <w:i/>
                <w:sz w:val="18"/>
                <w:szCs w:val="18"/>
              </w:rPr>
              <w:t xml:space="preserve"> </w:t>
            </w:r>
            <w:r w:rsidR="00B73408" w:rsidRPr="00A12473">
              <w:rPr>
                <w:i/>
                <w:sz w:val="18"/>
                <w:szCs w:val="18"/>
              </w:rPr>
              <w:t xml:space="preserve">wydatków </w:t>
            </w:r>
            <w:r w:rsidR="00C13990">
              <w:rPr>
                <w:i/>
                <w:sz w:val="18"/>
                <w:szCs w:val="18"/>
              </w:rPr>
              <w:lastRenderedPageBreak/>
              <w:t xml:space="preserve">ponoszonych </w:t>
            </w:r>
            <w:r w:rsidR="00B73408" w:rsidRPr="00A12473">
              <w:rPr>
                <w:i/>
                <w:sz w:val="18"/>
                <w:szCs w:val="18"/>
              </w:rPr>
              <w:t>w</w:t>
            </w:r>
            <w:r w:rsidR="00A31AE0" w:rsidRPr="00A12473">
              <w:rPr>
                <w:i/>
                <w:sz w:val="18"/>
                <w:szCs w:val="18"/>
              </w:rPr>
              <w:t xml:space="preserve"> </w:t>
            </w:r>
            <w:r w:rsidR="006B43F3" w:rsidRPr="00A12473">
              <w:rPr>
                <w:i/>
                <w:sz w:val="18"/>
                <w:szCs w:val="18"/>
              </w:rPr>
              <w:t>oddziale</w:t>
            </w:r>
            <w:r w:rsidR="00A12473" w:rsidRPr="00A12473">
              <w:rPr>
                <w:i/>
                <w:sz w:val="18"/>
                <w:szCs w:val="18"/>
              </w:rPr>
              <w:t xml:space="preserve"> </w:t>
            </w:r>
            <w:r w:rsidR="00725183">
              <w:rPr>
                <w:i/>
                <w:sz w:val="18"/>
                <w:szCs w:val="18"/>
              </w:rPr>
              <w:t>wielogodzinnym</w:t>
            </w:r>
            <w:r w:rsidR="00C13990">
              <w:rPr>
                <w:i/>
                <w:sz w:val="18"/>
                <w:szCs w:val="18"/>
              </w:rPr>
              <w:t xml:space="preserve"> przedszkola</w:t>
            </w:r>
            <w:r w:rsidR="00725183">
              <w:rPr>
                <w:i/>
                <w:sz w:val="18"/>
                <w:szCs w:val="18"/>
              </w:rPr>
              <w:t>.</w:t>
            </w:r>
          </w:p>
          <w:p w:rsidR="00D913E1" w:rsidRPr="00725183" w:rsidRDefault="00B73408" w:rsidP="00725183">
            <w:pPr>
              <w:jc w:val="both"/>
              <w:rPr>
                <w:i/>
                <w:sz w:val="18"/>
                <w:szCs w:val="18"/>
              </w:rPr>
            </w:pPr>
            <w:r w:rsidRPr="00A3758A">
              <w:rPr>
                <w:sz w:val="18"/>
                <w:szCs w:val="18"/>
              </w:rPr>
              <w:t xml:space="preserve">Do kwoty tej doliczane są środki </w:t>
            </w:r>
            <w:r w:rsidR="006B43F3">
              <w:rPr>
                <w:sz w:val="18"/>
                <w:szCs w:val="18"/>
              </w:rPr>
              <w:t>na</w:t>
            </w:r>
            <w:r w:rsidRPr="00A3758A">
              <w:rPr>
                <w:sz w:val="18"/>
                <w:szCs w:val="18"/>
              </w:rPr>
              <w:t xml:space="preserve"> dzieci niepełnospr</w:t>
            </w:r>
            <w:r w:rsidR="00725183">
              <w:rPr>
                <w:sz w:val="18"/>
                <w:szCs w:val="18"/>
              </w:rPr>
              <w:t>awne przyznane w subwencji oświatowej.</w:t>
            </w:r>
            <w:r w:rsidR="00F71184">
              <w:rPr>
                <w:sz w:val="18"/>
                <w:szCs w:val="18"/>
              </w:rPr>
              <w:t xml:space="preserve"> Budżet ten nie obejmuje wydatków na zakup żywności. </w:t>
            </w:r>
          </w:p>
          <w:p w:rsidR="00542A52" w:rsidRPr="00456851" w:rsidRDefault="00C13990" w:rsidP="00542A52">
            <w:pPr>
              <w:pStyle w:val="Akapitzlist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A13E11" w:rsidRPr="00456851">
              <w:rPr>
                <w:sz w:val="18"/>
                <w:szCs w:val="18"/>
              </w:rPr>
              <w:t xml:space="preserve"> oddziałach przedszkolnych</w:t>
            </w:r>
            <w:r w:rsidR="00B73408" w:rsidRPr="00456851">
              <w:rPr>
                <w:sz w:val="18"/>
                <w:szCs w:val="18"/>
              </w:rPr>
              <w:t xml:space="preserve"> </w:t>
            </w:r>
            <w:r w:rsidR="00725183">
              <w:rPr>
                <w:sz w:val="18"/>
                <w:szCs w:val="18"/>
              </w:rPr>
              <w:t>szkół</w:t>
            </w:r>
            <w:r w:rsidR="00456851" w:rsidRPr="00456851">
              <w:rPr>
                <w:sz w:val="18"/>
                <w:szCs w:val="18"/>
              </w:rPr>
              <w:t xml:space="preserve"> podstawowych </w:t>
            </w:r>
            <w:r w:rsidR="00B73408" w:rsidRPr="00456851">
              <w:rPr>
                <w:sz w:val="18"/>
                <w:szCs w:val="18"/>
              </w:rPr>
              <w:t>maksymalne ramy projektowanego budż</w:t>
            </w:r>
            <w:r w:rsidR="00A13E11" w:rsidRPr="00456851">
              <w:rPr>
                <w:sz w:val="18"/>
                <w:szCs w:val="18"/>
              </w:rPr>
              <w:t xml:space="preserve">etu </w:t>
            </w:r>
            <w:r w:rsidR="001A49DA" w:rsidRPr="00456851">
              <w:rPr>
                <w:sz w:val="18"/>
                <w:szCs w:val="18"/>
              </w:rPr>
              <w:t>oddziału przedszkolnego wyznacza suma:</w:t>
            </w:r>
          </w:p>
          <w:p w:rsidR="00542A52" w:rsidRDefault="00542A52" w:rsidP="001A49DA">
            <w:pPr>
              <w:spacing w:after="0"/>
              <w:jc w:val="center"/>
              <w:rPr>
                <w:sz w:val="18"/>
                <w:szCs w:val="18"/>
              </w:rPr>
            </w:pPr>
            <w:r w:rsidRPr="00A13E11">
              <w:rPr>
                <w:i/>
                <w:sz w:val="18"/>
                <w:szCs w:val="18"/>
              </w:rPr>
              <w:t xml:space="preserve">Budżet Oddziału Przedszkolnego = wynagrodzenie n-la + </w:t>
            </w:r>
            <w:r>
              <w:rPr>
                <w:i/>
                <w:sz w:val="18"/>
                <w:szCs w:val="18"/>
              </w:rPr>
              <w:t>20 %</w:t>
            </w:r>
            <w:r w:rsidRPr="00A13E11">
              <w:rPr>
                <w:i/>
                <w:sz w:val="18"/>
                <w:szCs w:val="18"/>
              </w:rPr>
              <w:t xml:space="preserve"> wynag</w:t>
            </w:r>
            <w:r>
              <w:rPr>
                <w:i/>
                <w:sz w:val="18"/>
                <w:szCs w:val="18"/>
              </w:rPr>
              <w:t>r</w:t>
            </w:r>
            <w:r w:rsidRPr="00A13E11">
              <w:rPr>
                <w:i/>
                <w:sz w:val="18"/>
                <w:szCs w:val="18"/>
              </w:rPr>
              <w:t>odzenia n-la</w:t>
            </w:r>
          </w:p>
          <w:p w:rsidR="00725183" w:rsidRPr="001A49DA" w:rsidRDefault="00A31AE0" w:rsidP="001A49DA">
            <w:pPr>
              <w:spacing w:after="0"/>
              <w:jc w:val="both"/>
              <w:rPr>
                <w:sz w:val="18"/>
                <w:szCs w:val="18"/>
              </w:rPr>
            </w:pPr>
            <w:r w:rsidRPr="001A49DA">
              <w:rPr>
                <w:sz w:val="18"/>
                <w:szCs w:val="18"/>
              </w:rPr>
              <w:t>g</w:t>
            </w:r>
            <w:r w:rsidR="006B43F3" w:rsidRPr="001A49DA">
              <w:rPr>
                <w:sz w:val="18"/>
                <w:szCs w:val="18"/>
              </w:rPr>
              <w:t xml:space="preserve">dzie: </w:t>
            </w:r>
          </w:p>
          <w:p w:rsidR="00C13990" w:rsidRPr="00C13990" w:rsidRDefault="00095313" w:rsidP="00542A52">
            <w:pPr>
              <w:spacing w:after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wynagrodzenie n-la </w:t>
            </w:r>
            <w:r w:rsidR="00725183" w:rsidRPr="00C13990">
              <w:rPr>
                <w:i/>
                <w:sz w:val="18"/>
                <w:szCs w:val="18"/>
              </w:rPr>
              <w:t xml:space="preserve">- </w:t>
            </w:r>
            <w:r w:rsidR="005047D9" w:rsidRPr="00C13990">
              <w:rPr>
                <w:i/>
                <w:sz w:val="18"/>
                <w:szCs w:val="18"/>
              </w:rPr>
              <w:t xml:space="preserve">wynagrodzenie brutto wraz </w:t>
            </w:r>
            <w:r w:rsidR="00C13990" w:rsidRPr="00C13990">
              <w:rPr>
                <w:i/>
                <w:sz w:val="18"/>
                <w:szCs w:val="18"/>
              </w:rPr>
              <w:t xml:space="preserve">ze świadczeniami oraz składkami </w:t>
            </w:r>
            <w:r w:rsidR="005047D9" w:rsidRPr="00C13990">
              <w:rPr>
                <w:i/>
                <w:sz w:val="18"/>
                <w:szCs w:val="18"/>
              </w:rPr>
              <w:t xml:space="preserve">ZUS leżącymi po stronie pracodawcy </w:t>
            </w:r>
            <w:r w:rsidR="006B43F3" w:rsidRPr="00C13990">
              <w:rPr>
                <w:i/>
                <w:sz w:val="18"/>
                <w:szCs w:val="18"/>
              </w:rPr>
              <w:t xml:space="preserve">związane z realizacją </w:t>
            </w:r>
            <w:r w:rsidR="00DF7852" w:rsidRPr="00C13990">
              <w:rPr>
                <w:i/>
                <w:sz w:val="18"/>
                <w:szCs w:val="18"/>
              </w:rPr>
              <w:t>podstawy programowej</w:t>
            </w:r>
            <w:r w:rsidR="00A31AE0" w:rsidRPr="00C13990">
              <w:rPr>
                <w:i/>
                <w:sz w:val="18"/>
                <w:szCs w:val="18"/>
              </w:rPr>
              <w:t xml:space="preserve"> w oddziale 5 – godzinnym;</w:t>
            </w:r>
          </w:p>
          <w:p w:rsidR="009B5496" w:rsidRPr="001A49DA" w:rsidRDefault="00C13990" w:rsidP="00FF320D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20 % </w:t>
            </w:r>
            <w:r w:rsidR="00A31AE0" w:rsidRPr="00C13990">
              <w:rPr>
                <w:i/>
                <w:sz w:val="18"/>
                <w:szCs w:val="18"/>
              </w:rPr>
              <w:t xml:space="preserve">wynagrodzenia n-la </w:t>
            </w:r>
            <w:r>
              <w:rPr>
                <w:i/>
                <w:sz w:val="18"/>
                <w:szCs w:val="18"/>
              </w:rPr>
              <w:t>-</w:t>
            </w:r>
            <w:r w:rsidRPr="00C13990">
              <w:rPr>
                <w:i/>
                <w:sz w:val="18"/>
                <w:szCs w:val="18"/>
              </w:rPr>
              <w:t xml:space="preserve"> naliczenie </w:t>
            </w:r>
            <w:r>
              <w:rPr>
                <w:i/>
                <w:sz w:val="18"/>
                <w:szCs w:val="18"/>
              </w:rPr>
              <w:t xml:space="preserve">oparte na ww. </w:t>
            </w:r>
            <w:r w:rsidR="00E9281C">
              <w:rPr>
                <w:i/>
                <w:sz w:val="18"/>
                <w:szCs w:val="18"/>
              </w:rPr>
              <w:t>kosztach</w:t>
            </w:r>
            <w:r w:rsidR="00D65B69">
              <w:rPr>
                <w:i/>
                <w:sz w:val="18"/>
                <w:szCs w:val="18"/>
              </w:rPr>
              <w:t>,</w:t>
            </w:r>
            <w:r w:rsidR="00E9281C">
              <w:rPr>
                <w:i/>
                <w:sz w:val="18"/>
                <w:szCs w:val="18"/>
              </w:rPr>
              <w:t xml:space="preserve"> </w:t>
            </w:r>
            <w:r w:rsidRPr="00C13990">
              <w:rPr>
                <w:i/>
                <w:sz w:val="18"/>
                <w:szCs w:val="18"/>
              </w:rPr>
              <w:t xml:space="preserve">przeznaczone </w:t>
            </w:r>
            <w:r w:rsidR="00B73408" w:rsidRPr="00C13990">
              <w:rPr>
                <w:i/>
                <w:sz w:val="18"/>
                <w:szCs w:val="18"/>
              </w:rPr>
              <w:t>na wydatki rzeczowe oddziału.</w:t>
            </w:r>
          </w:p>
          <w:p w:rsidR="009B5496" w:rsidRPr="009B5496" w:rsidRDefault="009B5496" w:rsidP="00FF320D">
            <w:pPr>
              <w:pStyle w:val="Akapitzlist"/>
              <w:numPr>
                <w:ilvl w:val="0"/>
                <w:numId w:val="19"/>
              </w:numPr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Szkoły</w:t>
            </w:r>
          </w:p>
          <w:p w:rsidR="00C074DB" w:rsidRPr="00C074DB" w:rsidRDefault="00456851" w:rsidP="00C074DB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Przyjęte w szkołach</w:t>
            </w:r>
            <w:r w:rsidR="00C074DB" w:rsidRPr="00C074DB">
              <w:rPr>
                <w:sz w:val="18"/>
                <w:szCs w:val="18"/>
              </w:rPr>
              <w:t xml:space="preserve"> rozwiązanie polega na:</w:t>
            </w:r>
          </w:p>
          <w:p w:rsidR="00D913E1" w:rsidRPr="00800FFF" w:rsidRDefault="00C074DB" w:rsidP="00542A52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sz w:val="18"/>
                <w:szCs w:val="18"/>
              </w:rPr>
            </w:pPr>
            <w:r w:rsidRPr="00D913E1">
              <w:rPr>
                <w:sz w:val="18"/>
                <w:szCs w:val="18"/>
              </w:rPr>
              <w:t>Precyzyjnym wyliczeniu i podziale części oświatowej subwencj</w:t>
            </w:r>
            <w:r w:rsidR="00143F53">
              <w:rPr>
                <w:sz w:val="18"/>
                <w:szCs w:val="18"/>
              </w:rPr>
              <w:t>i ogólnej dla każdej ze szkół. (d</w:t>
            </w:r>
            <w:r w:rsidRPr="00D913E1">
              <w:rPr>
                <w:sz w:val="18"/>
                <w:szCs w:val="18"/>
              </w:rPr>
              <w:t>otyczy to zarówno subwencji wstępnej</w:t>
            </w:r>
            <w:r w:rsidR="009D5DD9">
              <w:rPr>
                <w:sz w:val="18"/>
                <w:szCs w:val="18"/>
              </w:rPr>
              <w:t>,</w:t>
            </w:r>
            <w:r w:rsidRPr="00D913E1">
              <w:rPr>
                <w:sz w:val="18"/>
                <w:szCs w:val="18"/>
              </w:rPr>
              <w:t xml:space="preserve"> jak i ostatecznej</w:t>
            </w:r>
            <w:r w:rsidR="00143F53">
              <w:rPr>
                <w:sz w:val="18"/>
                <w:szCs w:val="18"/>
              </w:rPr>
              <w:t>)</w:t>
            </w:r>
            <w:r w:rsidRPr="00D913E1">
              <w:rPr>
                <w:sz w:val="18"/>
                <w:szCs w:val="18"/>
              </w:rPr>
              <w:t xml:space="preserve">. Przy wyliczeniu i podziale subwencji </w:t>
            </w:r>
            <w:r w:rsidR="00C13990">
              <w:rPr>
                <w:sz w:val="18"/>
                <w:szCs w:val="18"/>
              </w:rPr>
              <w:t xml:space="preserve">dla każdej ze szkół </w:t>
            </w:r>
            <w:r w:rsidRPr="00D913E1">
              <w:rPr>
                <w:sz w:val="18"/>
                <w:szCs w:val="18"/>
              </w:rPr>
              <w:t xml:space="preserve">uwzględniamy </w:t>
            </w:r>
            <w:r w:rsidR="00456851">
              <w:rPr>
                <w:sz w:val="18"/>
                <w:szCs w:val="18"/>
              </w:rPr>
              <w:t>wszystkie elementy</w:t>
            </w:r>
            <w:r w:rsidRPr="00D913E1">
              <w:rPr>
                <w:sz w:val="18"/>
                <w:szCs w:val="18"/>
              </w:rPr>
              <w:t xml:space="preserve"> algorytmu w</w:t>
            </w:r>
            <w:r w:rsidR="00456851">
              <w:rPr>
                <w:sz w:val="18"/>
                <w:szCs w:val="18"/>
              </w:rPr>
              <w:t xml:space="preserve">ynikające z rozporządzenia MEN (w tym </w:t>
            </w:r>
            <w:r w:rsidR="008170F8">
              <w:rPr>
                <w:sz w:val="18"/>
                <w:szCs w:val="18"/>
              </w:rPr>
              <w:t xml:space="preserve">odrębny </w:t>
            </w:r>
            <w:r w:rsidR="00456851">
              <w:rPr>
                <w:sz w:val="18"/>
                <w:szCs w:val="18"/>
              </w:rPr>
              <w:t xml:space="preserve">wskaźnik Di wyliczony dla każdej ze szkół i </w:t>
            </w:r>
            <w:r w:rsidR="00387D84">
              <w:rPr>
                <w:sz w:val="18"/>
                <w:szCs w:val="18"/>
              </w:rPr>
              <w:t>standard finansowy A wyliczony dla g</w:t>
            </w:r>
            <w:r w:rsidR="00800FFF">
              <w:rPr>
                <w:sz w:val="18"/>
                <w:szCs w:val="18"/>
              </w:rPr>
              <w:t xml:space="preserve">miny z ilorazu: A gminy = SO gminy : </w:t>
            </w:r>
            <w:r w:rsidR="00800FFF" w:rsidRPr="00800FFF">
              <w:rPr>
                <w:sz w:val="18"/>
                <w:szCs w:val="18"/>
              </w:rPr>
              <w:t>(</w:t>
            </w:r>
            <w:proofErr w:type="spellStart"/>
            <w:r w:rsidR="00800FFF" w:rsidRPr="00800FFF">
              <w:rPr>
                <w:sz w:val="18"/>
                <w:szCs w:val="18"/>
              </w:rPr>
              <w:t>Up</w:t>
            </w:r>
            <w:proofErr w:type="spellEnd"/>
            <w:r w:rsidR="00800FFF" w:rsidRPr="00800FFF">
              <w:rPr>
                <w:sz w:val="18"/>
                <w:szCs w:val="18"/>
              </w:rPr>
              <w:t xml:space="preserve"> każdej ze szkół x Di każdej ze szkół)</w:t>
            </w:r>
            <w:r w:rsidR="00387D84" w:rsidRPr="00800FFF">
              <w:rPr>
                <w:sz w:val="18"/>
                <w:szCs w:val="18"/>
              </w:rPr>
              <w:t>)</w:t>
            </w:r>
            <w:r w:rsidR="00143F53" w:rsidRPr="00800FFF">
              <w:rPr>
                <w:sz w:val="18"/>
                <w:szCs w:val="18"/>
              </w:rPr>
              <w:t>;</w:t>
            </w:r>
          </w:p>
          <w:p w:rsidR="00C074DB" w:rsidRDefault="00C074DB" w:rsidP="00542A52">
            <w:pPr>
              <w:pStyle w:val="Akapitzlist"/>
              <w:numPr>
                <w:ilvl w:val="0"/>
                <w:numId w:val="21"/>
              </w:numPr>
              <w:spacing w:after="0"/>
              <w:jc w:val="both"/>
              <w:rPr>
                <w:sz w:val="18"/>
                <w:szCs w:val="18"/>
              </w:rPr>
            </w:pPr>
            <w:r w:rsidRPr="00D913E1">
              <w:rPr>
                <w:sz w:val="18"/>
                <w:szCs w:val="18"/>
              </w:rPr>
              <w:t>Porównaniu planowanego lub przyjętego budżetu danej szkoły (</w:t>
            </w:r>
            <w:r w:rsidR="008170F8">
              <w:rPr>
                <w:sz w:val="18"/>
                <w:szCs w:val="18"/>
              </w:rPr>
              <w:t xml:space="preserve">wyłącznie </w:t>
            </w:r>
            <w:r w:rsidRPr="00D913E1">
              <w:rPr>
                <w:sz w:val="18"/>
                <w:szCs w:val="18"/>
              </w:rPr>
              <w:t>wydatków bieżących) do wyliczonej dla niej sub</w:t>
            </w:r>
            <w:r w:rsidR="00143F53">
              <w:rPr>
                <w:sz w:val="18"/>
                <w:szCs w:val="18"/>
              </w:rPr>
              <w:t>wencji wstępnej lub ostatecznej;</w:t>
            </w:r>
          </w:p>
          <w:p w:rsidR="00310FC5" w:rsidRPr="00D913E1" w:rsidRDefault="00310FC5" w:rsidP="001A49DA">
            <w:pPr>
              <w:pStyle w:val="Akapitzlist"/>
              <w:numPr>
                <w:ilvl w:val="0"/>
                <w:numId w:val="2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Skorygowaniu projektu lub przyjętego już budżetu do ram finansowych wynikających z wyliczonej dla szkoły subwencji lub określeniu kwoty wsparcia, jaką dla normalnego funkcjonowania musi otrzymać szkoła.</w:t>
            </w:r>
          </w:p>
        </w:tc>
      </w:tr>
      <w:tr w:rsidR="00F62EAB" w:rsidRPr="003F51DA" w:rsidTr="009C6869">
        <w:trPr>
          <w:trHeight w:val="1701"/>
        </w:trPr>
        <w:tc>
          <w:tcPr>
            <w:tcW w:w="1565" w:type="dxa"/>
            <w:gridSpan w:val="2"/>
            <w:shd w:val="clear" w:color="auto" w:fill="EAF1DD" w:themeFill="accent3" w:themeFillTint="33"/>
          </w:tcPr>
          <w:p w:rsidR="00F62EAB" w:rsidRPr="007E5C6E" w:rsidRDefault="003D4474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2.4</w:t>
            </w:r>
            <w:r w:rsidR="00F62EAB" w:rsidRPr="007E5C6E">
              <w:rPr>
                <w:sz w:val="18"/>
                <w:szCs w:val="18"/>
              </w:rPr>
              <w:t xml:space="preserve"> Kto, kiedy i co zrobił?</w:t>
            </w:r>
          </w:p>
          <w:p w:rsidR="00F62EAB" w:rsidRDefault="00F62EAB" w:rsidP="00F71B02">
            <w:pPr>
              <w:spacing w:before="60" w:after="60"/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</w:pP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(Jak?)</w:t>
            </w:r>
          </w:p>
          <w:p w:rsidR="00F62EAB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shd w:val="clear" w:color="auto" w:fill="auto"/>
          </w:tcPr>
          <w:p w:rsidR="00310FC5" w:rsidRPr="00143F53" w:rsidRDefault="00310FC5" w:rsidP="00FF320D">
            <w:pPr>
              <w:pStyle w:val="Akapitzlist"/>
              <w:numPr>
                <w:ilvl w:val="0"/>
                <w:numId w:val="25"/>
              </w:numPr>
              <w:jc w:val="both"/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Przedszkola</w:t>
            </w:r>
            <w:r>
              <w:rPr>
                <w:sz w:val="18"/>
                <w:szCs w:val="18"/>
              </w:rPr>
              <w:t xml:space="preserve"> i oddziały przedszkolne w szkołach</w:t>
            </w:r>
          </w:p>
          <w:p w:rsidR="007E2B05" w:rsidRDefault="00542A52" w:rsidP="00FF32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Dokonana w 2000</w:t>
            </w:r>
            <w:r w:rsidR="006C0F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r. analiza porównawcza</w:t>
            </w:r>
            <w:r w:rsidR="007E2B05">
              <w:rPr>
                <w:sz w:val="18"/>
                <w:szCs w:val="18"/>
              </w:rPr>
              <w:t xml:space="preserve"> wydatkó</w:t>
            </w:r>
            <w:r w:rsidR="00DB6341">
              <w:rPr>
                <w:sz w:val="18"/>
                <w:szCs w:val="18"/>
              </w:rPr>
              <w:t xml:space="preserve">w ponoszonych w przedszkolach naszej gminy i w </w:t>
            </w:r>
            <w:r w:rsidR="007E2B05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ąsiednich </w:t>
            </w:r>
            <w:proofErr w:type="spellStart"/>
            <w:r>
              <w:rPr>
                <w:sz w:val="18"/>
                <w:szCs w:val="18"/>
              </w:rPr>
              <w:t>jst</w:t>
            </w:r>
            <w:proofErr w:type="spellEnd"/>
            <w:r>
              <w:rPr>
                <w:sz w:val="18"/>
                <w:szCs w:val="18"/>
              </w:rPr>
              <w:t xml:space="preserve">., obejmująca wydatki </w:t>
            </w:r>
            <w:r w:rsidR="00444666">
              <w:rPr>
                <w:sz w:val="18"/>
                <w:szCs w:val="18"/>
              </w:rPr>
              <w:t>na wynagrodzenia</w:t>
            </w:r>
            <w:r w:rsidR="00C05DAE">
              <w:rPr>
                <w:sz w:val="18"/>
                <w:szCs w:val="18"/>
              </w:rPr>
              <w:t xml:space="preserve"> </w:t>
            </w:r>
            <w:r w:rsidR="007E2B05">
              <w:rPr>
                <w:sz w:val="18"/>
                <w:szCs w:val="18"/>
              </w:rPr>
              <w:t>n-li</w:t>
            </w:r>
            <w:r>
              <w:rPr>
                <w:sz w:val="18"/>
                <w:szCs w:val="18"/>
              </w:rPr>
              <w:t xml:space="preserve"> i </w:t>
            </w:r>
            <w:r w:rsidR="007E2B05">
              <w:rPr>
                <w:sz w:val="18"/>
                <w:szCs w:val="18"/>
              </w:rPr>
              <w:t>obsługi, prze</w:t>
            </w:r>
            <w:r>
              <w:rPr>
                <w:sz w:val="18"/>
                <w:szCs w:val="18"/>
              </w:rPr>
              <w:t>liczone</w:t>
            </w:r>
            <w:r w:rsidR="007E2B05">
              <w:rPr>
                <w:sz w:val="18"/>
                <w:szCs w:val="18"/>
              </w:rPr>
              <w:t xml:space="preserve"> na dziecko, na oddział itp. </w:t>
            </w:r>
            <w:r>
              <w:rPr>
                <w:sz w:val="18"/>
                <w:szCs w:val="18"/>
              </w:rPr>
              <w:t>dała z</w:t>
            </w:r>
            <w:r w:rsidR="00C05DAE">
              <w:rPr>
                <w:sz w:val="18"/>
                <w:szCs w:val="18"/>
              </w:rPr>
              <w:t xml:space="preserve">askakujące </w:t>
            </w:r>
            <w:r>
              <w:rPr>
                <w:sz w:val="18"/>
                <w:szCs w:val="18"/>
              </w:rPr>
              <w:t>wyniki: wykazała</w:t>
            </w:r>
            <w:r w:rsidR="00444666">
              <w:rPr>
                <w:sz w:val="18"/>
                <w:szCs w:val="18"/>
              </w:rPr>
              <w:t xml:space="preserve"> znaczne</w:t>
            </w:r>
            <w:r w:rsidR="008170F8">
              <w:rPr>
                <w:sz w:val="18"/>
                <w:szCs w:val="18"/>
              </w:rPr>
              <w:t xml:space="preserve"> jednostkowe wydatki naszych przedszkoli oraz </w:t>
            </w:r>
            <w:r>
              <w:rPr>
                <w:sz w:val="18"/>
                <w:szCs w:val="18"/>
              </w:rPr>
              <w:t xml:space="preserve">ich </w:t>
            </w:r>
            <w:r w:rsidR="00C05DAE">
              <w:rPr>
                <w:sz w:val="18"/>
                <w:szCs w:val="18"/>
              </w:rPr>
              <w:t>duż</w:t>
            </w:r>
            <w:r w:rsidR="008170F8">
              <w:rPr>
                <w:sz w:val="18"/>
                <w:szCs w:val="18"/>
              </w:rPr>
              <w:t xml:space="preserve">e </w:t>
            </w:r>
            <w:r w:rsidR="00444666">
              <w:rPr>
                <w:sz w:val="18"/>
                <w:szCs w:val="18"/>
              </w:rPr>
              <w:t xml:space="preserve">zróżnicowanie </w:t>
            </w:r>
            <w:r w:rsidR="00C05DAE">
              <w:rPr>
                <w:sz w:val="18"/>
                <w:szCs w:val="18"/>
              </w:rPr>
              <w:t>w obrębie naszej gminy.</w:t>
            </w:r>
          </w:p>
          <w:p w:rsidR="007E2B05" w:rsidRDefault="00BF21DD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Wkrótce</w:t>
            </w:r>
            <w:r w:rsidR="000E5870">
              <w:rPr>
                <w:sz w:val="18"/>
                <w:szCs w:val="18"/>
              </w:rPr>
              <w:t xml:space="preserve"> </w:t>
            </w:r>
            <w:r w:rsidR="007E2B05">
              <w:rPr>
                <w:sz w:val="18"/>
                <w:szCs w:val="18"/>
              </w:rPr>
              <w:t>spotkali</w:t>
            </w:r>
            <w:r w:rsidR="008170F8">
              <w:rPr>
                <w:sz w:val="18"/>
                <w:szCs w:val="18"/>
              </w:rPr>
              <w:t>śmy się z radami pedagogicznymi</w:t>
            </w:r>
            <w:r w:rsidR="00304128">
              <w:rPr>
                <w:sz w:val="18"/>
                <w:szCs w:val="18"/>
              </w:rPr>
              <w:t xml:space="preserve"> i pracownikami</w:t>
            </w:r>
            <w:r w:rsidR="00800FFF">
              <w:rPr>
                <w:sz w:val="18"/>
                <w:szCs w:val="18"/>
              </w:rPr>
              <w:t xml:space="preserve"> </w:t>
            </w:r>
            <w:r w:rsidR="00DA64D2">
              <w:rPr>
                <w:sz w:val="18"/>
                <w:szCs w:val="18"/>
              </w:rPr>
              <w:t xml:space="preserve">niepedagogicznymi </w:t>
            </w:r>
            <w:r w:rsidR="00800FFF">
              <w:rPr>
                <w:sz w:val="18"/>
                <w:szCs w:val="18"/>
              </w:rPr>
              <w:t>(również z</w:t>
            </w:r>
            <w:r w:rsidR="00DB6341">
              <w:rPr>
                <w:sz w:val="18"/>
                <w:szCs w:val="18"/>
              </w:rPr>
              <w:t xml:space="preserve"> racji konieczności dokonania istotnych zmian</w:t>
            </w:r>
            <w:r w:rsidR="00800FFF">
              <w:rPr>
                <w:sz w:val="18"/>
                <w:szCs w:val="18"/>
              </w:rPr>
              <w:t xml:space="preserve"> w statucie jednego z przedszk</w:t>
            </w:r>
            <w:r w:rsidR="00DB6341">
              <w:rPr>
                <w:sz w:val="18"/>
                <w:szCs w:val="18"/>
              </w:rPr>
              <w:t>oli</w:t>
            </w:r>
            <w:r w:rsidR="00800FFF">
              <w:rPr>
                <w:sz w:val="18"/>
                <w:szCs w:val="18"/>
              </w:rPr>
              <w:t>)</w:t>
            </w:r>
            <w:r w:rsidR="00304128">
              <w:rPr>
                <w:sz w:val="18"/>
                <w:szCs w:val="18"/>
              </w:rPr>
              <w:t>.</w:t>
            </w:r>
            <w:r w:rsidR="00C05DAE">
              <w:rPr>
                <w:sz w:val="18"/>
                <w:szCs w:val="18"/>
              </w:rPr>
              <w:t xml:space="preserve"> Pr</w:t>
            </w:r>
            <w:r w:rsidR="00304128">
              <w:rPr>
                <w:sz w:val="18"/>
                <w:szCs w:val="18"/>
              </w:rPr>
              <w:t>zedstawiliśmy</w:t>
            </w:r>
            <w:r w:rsidR="00C05DAE">
              <w:rPr>
                <w:sz w:val="18"/>
                <w:szCs w:val="18"/>
              </w:rPr>
              <w:t xml:space="preserve"> założenia nowego systemu finansowania.</w:t>
            </w:r>
            <w:r w:rsidR="00657097">
              <w:rPr>
                <w:sz w:val="18"/>
                <w:szCs w:val="18"/>
              </w:rPr>
              <w:t xml:space="preserve"> </w:t>
            </w:r>
            <w:r w:rsidR="00DB6341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ie obyło się bez problemów. Zachętą do zmiany była </w:t>
            </w:r>
            <w:r w:rsidR="00DB6341">
              <w:rPr>
                <w:sz w:val="18"/>
                <w:szCs w:val="18"/>
              </w:rPr>
              <w:t>jednak</w:t>
            </w:r>
            <w:r>
              <w:rPr>
                <w:sz w:val="18"/>
                <w:szCs w:val="18"/>
              </w:rPr>
              <w:t xml:space="preserve"> ważna </w:t>
            </w:r>
            <w:r w:rsidR="0098442F">
              <w:rPr>
                <w:sz w:val="18"/>
                <w:szCs w:val="18"/>
              </w:rPr>
              <w:t>reguła</w:t>
            </w:r>
            <w:r>
              <w:rPr>
                <w:sz w:val="18"/>
                <w:szCs w:val="18"/>
              </w:rPr>
              <w:t xml:space="preserve">: </w:t>
            </w:r>
            <w:r w:rsidRPr="00BF21DD">
              <w:rPr>
                <w:i/>
                <w:sz w:val="18"/>
                <w:szCs w:val="18"/>
              </w:rPr>
              <w:t>„Zaoszczędzone środki pozostają w przedszkolu</w:t>
            </w:r>
            <w:r>
              <w:rPr>
                <w:sz w:val="18"/>
                <w:szCs w:val="18"/>
              </w:rPr>
              <w:t>”.</w:t>
            </w:r>
          </w:p>
          <w:p w:rsidR="000D6665" w:rsidRDefault="00304128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0C166C">
              <w:rPr>
                <w:sz w:val="18"/>
                <w:szCs w:val="18"/>
              </w:rPr>
              <w:t xml:space="preserve"> </w:t>
            </w:r>
            <w:r w:rsidR="00310FC5" w:rsidRPr="00456851">
              <w:rPr>
                <w:sz w:val="18"/>
                <w:szCs w:val="18"/>
              </w:rPr>
              <w:t>2001</w:t>
            </w:r>
            <w:r w:rsidR="006C0FAA">
              <w:rPr>
                <w:sz w:val="18"/>
                <w:szCs w:val="18"/>
              </w:rPr>
              <w:t xml:space="preserve"> </w:t>
            </w:r>
            <w:r w:rsidR="00310FC5" w:rsidRPr="00456851">
              <w:rPr>
                <w:sz w:val="18"/>
                <w:szCs w:val="18"/>
              </w:rPr>
              <w:t>r</w:t>
            </w:r>
            <w:r w:rsidR="00310FC5">
              <w:rPr>
                <w:sz w:val="18"/>
                <w:szCs w:val="18"/>
              </w:rPr>
              <w:t xml:space="preserve">. </w:t>
            </w:r>
            <w:r w:rsidR="000C166C">
              <w:rPr>
                <w:sz w:val="18"/>
                <w:szCs w:val="18"/>
              </w:rPr>
              <w:t xml:space="preserve">po raz pierwszy wdrożyliśmy </w:t>
            </w:r>
            <w:r w:rsidR="008170F8">
              <w:rPr>
                <w:sz w:val="18"/>
                <w:szCs w:val="18"/>
              </w:rPr>
              <w:t xml:space="preserve">nowe </w:t>
            </w:r>
            <w:r w:rsidR="000C166C">
              <w:rPr>
                <w:sz w:val="18"/>
                <w:szCs w:val="18"/>
              </w:rPr>
              <w:t>rozwią</w:t>
            </w:r>
            <w:r w:rsidR="00657097">
              <w:rPr>
                <w:sz w:val="18"/>
                <w:szCs w:val="18"/>
              </w:rPr>
              <w:t>zanie</w:t>
            </w:r>
            <w:r w:rsidR="008170F8">
              <w:rPr>
                <w:sz w:val="18"/>
                <w:szCs w:val="18"/>
              </w:rPr>
              <w:t xml:space="preserve">. Zostało ono </w:t>
            </w:r>
            <w:r w:rsidR="00A07F90">
              <w:rPr>
                <w:sz w:val="18"/>
                <w:szCs w:val="18"/>
              </w:rPr>
              <w:t xml:space="preserve">wówczas </w:t>
            </w:r>
            <w:r w:rsidR="008170F8">
              <w:rPr>
                <w:sz w:val="18"/>
                <w:szCs w:val="18"/>
              </w:rPr>
              <w:t xml:space="preserve">ujęte </w:t>
            </w:r>
            <w:r w:rsidR="00657097">
              <w:rPr>
                <w:sz w:val="18"/>
                <w:szCs w:val="18"/>
              </w:rPr>
              <w:t xml:space="preserve">w wytycznych </w:t>
            </w:r>
            <w:r w:rsidR="000E5870">
              <w:rPr>
                <w:sz w:val="18"/>
                <w:szCs w:val="18"/>
              </w:rPr>
              <w:t>Zarządu</w:t>
            </w:r>
            <w:r w:rsidR="00A07F90">
              <w:rPr>
                <w:sz w:val="18"/>
                <w:szCs w:val="18"/>
              </w:rPr>
              <w:t xml:space="preserve"> </w:t>
            </w:r>
            <w:r w:rsidR="000E5870">
              <w:rPr>
                <w:sz w:val="18"/>
                <w:szCs w:val="18"/>
              </w:rPr>
              <w:t xml:space="preserve">Miejskiego </w:t>
            </w:r>
            <w:r w:rsidR="00657097">
              <w:rPr>
                <w:sz w:val="18"/>
                <w:szCs w:val="18"/>
              </w:rPr>
              <w:t>do prac na</w:t>
            </w:r>
            <w:r w:rsidR="00E25BCA">
              <w:rPr>
                <w:sz w:val="18"/>
                <w:szCs w:val="18"/>
              </w:rPr>
              <w:t>d</w:t>
            </w:r>
            <w:r w:rsidR="008170F8">
              <w:rPr>
                <w:sz w:val="18"/>
                <w:szCs w:val="18"/>
              </w:rPr>
              <w:t xml:space="preserve"> </w:t>
            </w:r>
            <w:r w:rsidR="00A07F90">
              <w:rPr>
                <w:sz w:val="18"/>
                <w:szCs w:val="18"/>
              </w:rPr>
              <w:t>projektami</w:t>
            </w:r>
            <w:r w:rsidR="00E25BCA">
              <w:rPr>
                <w:sz w:val="18"/>
                <w:szCs w:val="18"/>
              </w:rPr>
              <w:t xml:space="preserve"> budżetów. </w:t>
            </w:r>
            <w:r w:rsidR="00657097">
              <w:rPr>
                <w:sz w:val="18"/>
                <w:szCs w:val="18"/>
              </w:rPr>
              <w:t>Dyrektor</w:t>
            </w:r>
            <w:r w:rsidR="000E5870">
              <w:rPr>
                <w:sz w:val="18"/>
                <w:szCs w:val="18"/>
              </w:rPr>
              <w:t>zy przedszkoli</w:t>
            </w:r>
            <w:r w:rsidR="008170F8">
              <w:rPr>
                <w:sz w:val="18"/>
                <w:szCs w:val="18"/>
              </w:rPr>
              <w:t xml:space="preserve"> </w:t>
            </w:r>
            <w:r w:rsidR="00E25BCA">
              <w:rPr>
                <w:sz w:val="18"/>
                <w:szCs w:val="18"/>
              </w:rPr>
              <w:t xml:space="preserve">już przy planach budżetowych </w:t>
            </w:r>
            <w:r w:rsidR="000C166C">
              <w:rPr>
                <w:sz w:val="18"/>
                <w:szCs w:val="18"/>
              </w:rPr>
              <w:t xml:space="preserve">wiedzieli, że tym razem </w:t>
            </w:r>
            <w:r w:rsidR="00E25BCA">
              <w:rPr>
                <w:sz w:val="18"/>
                <w:szCs w:val="18"/>
              </w:rPr>
              <w:t xml:space="preserve">jego maksymalne ramy </w:t>
            </w:r>
            <w:r w:rsidR="00657097">
              <w:rPr>
                <w:sz w:val="18"/>
                <w:szCs w:val="18"/>
              </w:rPr>
              <w:t>są wyraźnie okr</w:t>
            </w:r>
            <w:r w:rsidR="00BF21DD">
              <w:rPr>
                <w:sz w:val="18"/>
                <w:szCs w:val="18"/>
              </w:rPr>
              <w:t xml:space="preserve">eślone i nie ma </w:t>
            </w:r>
            <w:r w:rsidR="000B6DDF">
              <w:rPr>
                <w:sz w:val="18"/>
                <w:szCs w:val="18"/>
              </w:rPr>
              <w:t xml:space="preserve">od tego </w:t>
            </w:r>
            <w:r w:rsidR="00BF21DD">
              <w:rPr>
                <w:sz w:val="18"/>
                <w:szCs w:val="18"/>
              </w:rPr>
              <w:t>odstępstw.</w:t>
            </w:r>
          </w:p>
          <w:p w:rsidR="00304128" w:rsidRDefault="00DB6341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Pierwotnie z</w:t>
            </w:r>
            <w:r w:rsidR="00E25BCA">
              <w:rPr>
                <w:sz w:val="18"/>
                <w:szCs w:val="18"/>
              </w:rPr>
              <w:t xml:space="preserve">mieszczenie się w wyliczonej kwocie nie było łatwe. Jasnym </w:t>
            </w:r>
            <w:r w:rsidR="00BF21DD">
              <w:rPr>
                <w:sz w:val="18"/>
                <w:szCs w:val="18"/>
              </w:rPr>
              <w:t>było</w:t>
            </w:r>
            <w:r w:rsidR="000B6DDF">
              <w:rPr>
                <w:sz w:val="18"/>
                <w:szCs w:val="18"/>
              </w:rPr>
              <w:t>, że</w:t>
            </w:r>
            <w:r w:rsidR="000D6665">
              <w:rPr>
                <w:sz w:val="18"/>
                <w:szCs w:val="18"/>
              </w:rPr>
              <w:t xml:space="preserve"> konieczne będą zmiany w arkuszach organizacyjnych przedszkoli. To wynagrodz</w:t>
            </w:r>
            <w:r w:rsidR="00304128">
              <w:rPr>
                <w:sz w:val="18"/>
                <w:szCs w:val="18"/>
              </w:rPr>
              <w:t>enia były najwię</w:t>
            </w:r>
            <w:r>
              <w:rPr>
                <w:sz w:val="18"/>
                <w:szCs w:val="18"/>
              </w:rPr>
              <w:t>kszym kosztem</w:t>
            </w:r>
            <w:r w:rsidR="000715CE">
              <w:rPr>
                <w:sz w:val="18"/>
                <w:szCs w:val="18"/>
              </w:rPr>
              <w:t>.</w:t>
            </w:r>
          </w:p>
          <w:p w:rsidR="00E25BCA" w:rsidRDefault="0098442F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Zapoczątkowane</w:t>
            </w:r>
            <w:r w:rsidR="000715CE">
              <w:rPr>
                <w:sz w:val="18"/>
                <w:szCs w:val="18"/>
              </w:rPr>
              <w:t xml:space="preserve"> </w:t>
            </w:r>
            <w:r w:rsidR="00BF21DD">
              <w:rPr>
                <w:sz w:val="18"/>
                <w:szCs w:val="18"/>
              </w:rPr>
              <w:t xml:space="preserve">w ten sposób </w:t>
            </w:r>
            <w:r w:rsidR="00BA2D6F">
              <w:rPr>
                <w:sz w:val="18"/>
                <w:szCs w:val="18"/>
              </w:rPr>
              <w:t>zmian</w:t>
            </w:r>
            <w:r>
              <w:rPr>
                <w:sz w:val="18"/>
                <w:szCs w:val="18"/>
              </w:rPr>
              <w:t>y</w:t>
            </w:r>
            <w:r w:rsidR="00BA2D6F">
              <w:rPr>
                <w:sz w:val="18"/>
                <w:szCs w:val="18"/>
              </w:rPr>
              <w:t xml:space="preserve"> w podejściu </w:t>
            </w:r>
            <w:r>
              <w:rPr>
                <w:sz w:val="18"/>
                <w:szCs w:val="18"/>
              </w:rPr>
              <w:t xml:space="preserve">samych </w:t>
            </w:r>
            <w:r w:rsidR="00BA2D6F">
              <w:rPr>
                <w:sz w:val="18"/>
                <w:szCs w:val="18"/>
              </w:rPr>
              <w:t xml:space="preserve">przedszkoli do </w:t>
            </w:r>
            <w:r w:rsidR="000B6DDF">
              <w:rPr>
                <w:sz w:val="18"/>
                <w:szCs w:val="18"/>
              </w:rPr>
              <w:t xml:space="preserve">ich </w:t>
            </w:r>
            <w:r w:rsidR="00BA2D6F">
              <w:rPr>
                <w:sz w:val="18"/>
                <w:szCs w:val="18"/>
              </w:rPr>
              <w:t>bud</w:t>
            </w:r>
            <w:r w:rsidR="000B6DDF">
              <w:rPr>
                <w:sz w:val="18"/>
                <w:szCs w:val="18"/>
              </w:rPr>
              <w:t>żetów</w:t>
            </w:r>
            <w:r w:rsidR="00BA2D6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zaistnienie</w:t>
            </w:r>
            <w:r w:rsidR="000715CE">
              <w:rPr>
                <w:sz w:val="18"/>
                <w:szCs w:val="18"/>
              </w:rPr>
              <w:t xml:space="preserve"> </w:t>
            </w:r>
            <w:r w:rsidR="00397EF6">
              <w:rPr>
                <w:sz w:val="18"/>
                <w:szCs w:val="18"/>
              </w:rPr>
              <w:t xml:space="preserve">czytelnych </w:t>
            </w:r>
            <w:r w:rsidR="00DB6341">
              <w:rPr>
                <w:sz w:val="18"/>
                <w:szCs w:val="18"/>
              </w:rPr>
              <w:t xml:space="preserve">zachęt i </w:t>
            </w:r>
            <w:r w:rsidR="000715CE">
              <w:rPr>
                <w:sz w:val="18"/>
                <w:szCs w:val="18"/>
              </w:rPr>
              <w:t>ograniczeń budżetowych</w:t>
            </w:r>
            <w:r>
              <w:rPr>
                <w:sz w:val="18"/>
                <w:szCs w:val="18"/>
              </w:rPr>
              <w:t xml:space="preserve"> sprawiły, że </w:t>
            </w:r>
            <w:r w:rsidR="00BA2D6F">
              <w:rPr>
                <w:sz w:val="18"/>
                <w:szCs w:val="18"/>
              </w:rPr>
              <w:t>p</w:t>
            </w:r>
            <w:r w:rsidR="00E90E18">
              <w:rPr>
                <w:sz w:val="18"/>
                <w:szCs w:val="18"/>
              </w:rPr>
              <w:t>rzedkładane</w:t>
            </w:r>
            <w:r w:rsidR="0030412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 kolejnych latach</w:t>
            </w:r>
            <w:r w:rsidR="00304128">
              <w:rPr>
                <w:sz w:val="18"/>
                <w:szCs w:val="18"/>
              </w:rPr>
              <w:t xml:space="preserve"> arkusze </w:t>
            </w:r>
            <w:r w:rsidR="000715CE">
              <w:rPr>
                <w:sz w:val="18"/>
                <w:szCs w:val="18"/>
              </w:rPr>
              <w:t xml:space="preserve">organizacyjne </w:t>
            </w:r>
            <w:r w:rsidR="00E90E18">
              <w:rPr>
                <w:sz w:val="18"/>
                <w:szCs w:val="18"/>
              </w:rPr>
              <w:t xml:space="preserve">nie wymagały </w:t>
            </w:r>
            <w:r w:rsidR="00DB6341">
              <w:rPr>
                <w:sz w:val="18"/>
                <w:szCs w:val="18"/>
              </w:rPr>
              <w:t xml:space="preserve">już </w:t>
            </w:r>
            <w:r w:rsidR="00E90E18">
              <w:rPr>
                <w:sz w:val="18"/>
                <w:szCs w:val="18"/>
              </w:rPr>
              <w:t>żadnych poprawek.</w:t>
            </w:r>
            <w:r w:rsidR="00BA2D6F">
              <w:rPr>
                <w:sz w:val="18"/>
                <w:szCs w:val="18"/>
              </w:rPr>
              <w:t xml:space="preserve"> Przedszkolom zaczęło zależeć na </w:t>
            </w:r>
            <w:r w:rsidR="000715CE">
              <w:rPr>
                <w:sz w:val="18"/>
                <w:szCs w:val="18"/>
              </w:rPr>
              <w:t>ich</w:t>
            </w:r>
            <w:r w:rsidR="00BA2D6F">
              <w:rPr>
                <w:sz w:val="18"/>
                <w:szCs w:val="18"/>
              </w:rPr>
              <w:t xml:space="preserve"> pieniądzach, racjonalnym ich wydatkowaniu, z zachowaniem </w:t>
            </w:r>
            <w:r w:rsidR="00266B2B">
              <w:rPr>
                <w:sz w:val="18"/>
                <w:szCs w:val="18"/>
              </w:rPr>
              <w:t xml:space="preserve">dużej </w:t>
            </w:r>
            <w:r w:rsidR="00BA2D6F">
              <w:rPr>
                <w:sz w:val="18"/>
                <w:szCs w:val="18"/>
              </w:rPr>
              <w:t>dbałości o dziecko. W końcu to ono było źródłem dochodu, sensem istnienia przedszkola.</w:t>
            </w:r>
          </w:p>
          <w:p w:rsidR="000D6665" w:rsidRDefault="000D6665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E25BCA">
              <w:rPr>
                <w:sz w:val="18"/>
                <w:szCs w:val="18"/>
              </w:rPr>
              <w:t xml:space="preserve"> 2004</w:t>
            </w:r>
            <w:r w:rsidR="006C0FAA">
              <w:rPr>
                <w:sz w:val="18"/>
                <w:szCs w:val="18"/>
              </w:rPr>
              <w:t xml:space="preserve"> r.</w:t>
            </w:r>
            <w:r w:rsidR="00E25BC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wytyczne dotyczące algorytmicznego naliczania budżetu przedszkoli znalazły się </w:t>
            </w:r>
            <w:r w:rsidR="00E25BCA">
              <w:rPr>
                <w:sz w:val="18"/>
                <w:szCs w:val="18"/>
              </w:rPr>
              <w:t>w zarządzeniu Burmistrza w</w:t>
            </w:r>
            <w:r>
              <w:rPr>
                <w:sz w:val="18"/>
                <w:szCs w:val="18"/>
              </w:rPr>
              <w:t xml:space="preserve"> sprawie standardów oświatowych</w:t>
            </w:r>
            <w:r w:rsidR="00E25BCA">
              <w:rPr>
                <w:sz w:val="18"/>
                <w:szCs w:val="18"/>
              </w:rPr>
              <w:t xml:space="preserve">. </w:t>
            </w:r>
            <w:r w:rsidR="00DB6341">
              <w:rPr>
                <w:sz w:val="18"/>
                <w:szCs w:val="18"/>
              </w:rPr>
              <w:t>Podstawę</w:t>
            </w:r>
            <w:r>
              <w:rPr>
                <w:sz w:val="18"/>
                <w:szCs w:val="18"/>
              </w:rPr>
              <w:t xml:space="preserve"> prawną do jego wydania stanowi ustawa o finansach publicznych</w:t>
            </w:r>
            <w:r w:rsidR="00266B2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dająca kompetencję dla </w:t>
            </w:r>
            <w:proofErr w:type="spellStart"/>
            <w:r>
              <w:rPr>
                <w:sz w:val="18"/>
                <w:szCs w:val="18"/>
              </w:rPr>
              <w:t>jst</w:t>
            </w:r>
            <w:proofErr w:type="spellEnd"/>
            <w:r>
              <w:rPr>
                <w:sz w:val="18"/>
                <w:szCs w:val="18"/>
              </w:rPr>
              <w:t xml:space="preserve"> do określenia zasad opracowywania planów finansowych jednostek budżetowych.</w:t>
            </w:r>
          </w:p>
          <w:p w:rsidR="00397EF6" w:rsidRDefault="00397EF6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Określany corocznie w MEN standard </w:t>
            </w:r>
            <w:r w:rsidR="000B6DDF">
              <w:rPr>
                <w:sz w:val="18"/>
                <w:szCs w:val="18"/>
              </w:rPr>
              <w:t xml:space="preserve">finansowy </w:t>
            </w:r>
            <w:r w:rsidR="00542A52">
              <w:rPr>
                <w:sz w:val="18"/>
                <w:szCs w:val="18"/>
              </w:rPr>
              <w:t>„</w:t>
            </w:r>
            <w:r w:rsidR="000B6DDF">
              <w:rPr>
                <w:sz w:val="18"/>
                <w:szCs w:val="18"/>
              </w:rPr>
              <w:t>A</w:t>
            </w:r>
            <w:r w:rsidR="00542A52">
              <w:rPr>
                <w:sz w:val="18"/>
                <w:szCs w:val="18"/>
              </w:rPr>
              <w:t>”</w:t>
            </w:r>
            <w:r w:rsidR="000B6DDF">
              <w:rPr>
                <w:sz w:val="18"/>
                <w:szCs w:val="18"/>
              </w:rPr>
              <w:t>, współtworzący w naszym rozwiązaniu kwotę bazową „</w:t>
            </w:r>
            <w:r w:rsidR="000B6DDF" w:rsidRPr="00542A52">
              <w:rPr>
                <w:i/>
                <w:sz w:val="18"/>
                <w:szCs w:val="18"/>
              </w:rPr>
              <w:t>idącą</w:t>
            </w:r>
            <w:r w:rsidRPr="00542A52">
              <w:rPr>
                <w:i/>
                <w:sz w:val="18"/>
                <w:szCs w:val="18"/>
              </w:rPr>
              <w:t xml:space="preserve"> za dzieckiem do przedszkola</w:t>
            </w:r>
            <w:r w:rsidR="00A10567">
              <w:rPr>
                <w:sz w:val="18"/>
                <w:szCs w:val="18"/>
              </w:rPr>
              <w:t>”, zdawał</w:t>
            </w:r>
            <w:r>
              <w:rPr>
                <w:sz w:val="18"/>
                <w:szCs w:val="18"/>
              </w:rPr>
              <w:t xml:space="preserve"> się najpełniej odzwierciedlać zmieniające się nakłady, również w prowadzeniu przedszkola.</w:t>
            </w:r>
          </w:p>
          <w:p w:rsidR="008170F8" w:rsidRDefault="00657097" w:rsidP="008170F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Pierwotnie</w:t>
            </w:r>
            <w:r w:rsidR="00266B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mnożnik zwiększający bazo</w:t>
            </w:r>
            <w:r w:rsidR="00130116">
              <w:rPr>
                <w:sz w:val="18"/>
                <w:szCs w:val="18"/>
              </w:rPr>
              <w:t xml:space="preserve">wą kwotę na dziecko wynosił 1,8. </w:t>
            </w:r>
            <w:r w:rsidR="00266B2B">
              <w:rPr>
                <w:sz w:val="18"/>
                <w:szCs w:val="18"/>
              </w:rPr>
              <w:t>J</w:t>
            </w:r>
            <w:r w:rsidR="00397EF6">
              <w:rPr>
                <w:sz w:val="18"/>
                <w:szCs w:val="18"/>
              </w:rPr>
              <w:t xml:space="preserve">ego wielkość wynikała z porównania standardu </w:t>
            </w:r>
            <w:r w:rsidR="00542A52">
              <w:rPr>
                <w:sz w:val="18"/>
                <w:szCs w:val="18"/>
              </w:rPr>
              <w:t>„</w:t>
            </w:r>
            <w:r w:rsidR="00397EF6">
              <w:rPr>
                <w:sz w:val="18"/>
                <w:szCs w:val="18"/>
              </w:rPr>
              <w:t>A</w:t>
            </w:r>
            <w:r w:rsidR="00542A52">
              <w:rPr>
                <w:sz w:val="18"/>
                <w:szCs w:val="18"/>
              </w:rPr>
              <w:t>”</w:t>
            </w:r>
            <w:r w:rsidR="00266B2B">
              <w:rPr>
                <w:sz w:val="18"/>
                <w:szCs w:val="18"/>
              </w:rPr>
              <w:t xml:space="preserve"> </w:t>
            </w:r>
            <w:r w:rsidR="00397EF6">
              <w:rPr>
                <w:sz w:val="18"/>
                <w:szCs w:val="18"/>
              </w:rPr>
              <w:t xml:space="preserve">do </w:t>
            </w:r>
            <w:r w:rsidR="00266B2B">
              <w:rPr>
                <w:sz w:val="18"/>
                <w:szCs w:val="18"/>
              </w:rPr>
              <w:t>wydatków</w:t>
            </w:r>
            <w:r w:rsidR="00F71184">
              <w:rPr>
                <w:sz w:val="18"/>
                <w:szCs w:val="18"/>
              </w:rPr>
              <w:t xml:space="preserve"> </w:t>
            </w:r>
            <w:r w:rsidR="00397EF6">
              <w:rPr>
                <w:sz w:val="18"/>
                <w:szCs w:val="18"/>
              </w:rPr>
              <w:t xml:space="preserve">ponoszonych </w:t>
            </w:r>
            <w:r w:rsidR="00F71184">
              <w:rPr>
                <w:sz w:val="18"/>
                <w:szCs w:val="18"/>
              </w:rPr>
              <w:t>na dziecko w różnych przedszkolach</w:t>
            </w:r>
            <w:r w:rsidR="00266B2B">
              <w:rPr>
                <w:sz w:val="18"/>
                <w:szCs w:val="18"/>
              </w:rPr>
              <w:t xml:space="preserve"> w kraju. </w:t>
            </w:r>
            <w:r w:rsidR="00130116">
              <w:rPr>
                <w:sz w:val="18"/>
                <w:szCs w:val="18"/>
              </w:rPr>
              <w:t xml:space="preserve">Od 2015 r. został </w:t>
            </w:r>
            <w:r w:rsidR="000E5870">
              <w:rPr>
                <w:sz w:val="18"/>
                <w:szCs w:val="18"/>
              </w:rPr>
              <w:t xml:space="preserve">on </w:t>
            </w:r>
            <w:r w:rsidR="00130116">
              <w:rPr>
                <w:sz w:val="18"/>
                <w:szCs w:val="18"/>
              </w:rPr>
              <w:t xml:space="preserve">obniżony do </w:t>
            </w:r>
            <w:r w:rsidR="00266B2B">
              <w:rPr>
                <w:sz w:val="18"/>
                <w:szCs w:val="18"/>
              </w:rPr>
              <w:t xml:space="preserve">wartości </w:t>
            </w:r>
            <w:r w:rsidR="00F9534F">
              <w:rPr>
                <w:sz w:val="18"/>
                <w:szCs w:val="18"/>
              </w:rPr>
              <w:t>1,7 (</w:t>
            </w:r>
            <w:r w:rsidR="00DB6341">
              <w:rPr>
                <w:sz w:val="18"/>
                <w:szCs w:val="18"/>
              </w:rPr>
              <w:t xml:space="preserve">zbadane </w:t>
            </w:r>
            <w:r w:rsidR="00397EF6">
              <w:rPr>
                <w:sz w:val="18"/>
                <w:szCs w:val="18"/>
              </w:rPr>
              <w:t xml:space="preserve">wydatki realnie </w:t>
            </w:r>
            <w:r w:rsidR="00F71184">
              <w:rPr>
                <w:sz w:val="18"/>
                <w:szCs w:val="18"/>
              </w:rPr>
              <w:t>spadły</w:t>
            </w:r>
            <w:r w:rsidR="00397EF6">
              <w:rPr>
                <w:sz w:val="18"/>
                <w:szCs w:val="18"/>
              </w:rPr>
              <w:t>,</w:t>
            </w:r>
            <w:r w:rsidR="00F9534F">
              <w:rPr>
                <w:sz w:val="18"/>
                <w:szCs w:val="18"/>
              </w:rPr>
              <w:t xml:space="preserve"> np. na ogrzewanie).</w:t>
            </w:r>
          </w:p>
          <w:p w:rsidR="00F9534F" w:rsidRDefault="00F9534F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Wyliczona algorytmicznie dotacja dla przedszkola jest jednolita</w:t>
            </w:r>
            <w:r w:rsidR="00397EF6">
              <w:rPr>
                <w:sz w:val="18"/>
                <w:szCs w:val="18"/>
              </w:rPr>
              <w:t>, nie ma części składowych</w:t>
            </w:r>
            <w:r>
              <w:rPr>
                <w:sz w:val="18"/>
                <w:szCs w:val="18"/>
              </w:rPr>
              <w:t xml:space="preserve"> (nie obejmuje </w:t>
            </w:r>
            <w:r w:rsidR="00DB6341">
              <w:rPr>
                <w:sz w:val="18"/>
                <w:szCs w:val="18"/>
              </w:rPr>
              <w:t xml:space="preserve">jednak </w:t>
            </w:r>
            <w:r>
              <w:rPr>
                <w:sz w:val="18"/>
                <w:szCs w:val="18"/>
              </w:rPr>
              <w:t xml:space="preserve">żywności). Z punktu widzenia gminy kiedyś znajdowała pokrycie z własnych dochodów </w:t>
            </w:r>
            <w:r w:rsidR="00542A52">
              <w:rPr>
                <w:sz w:val="18"/>
                <w:szCs w:val="18"/>
              </w:rPr>
              <w:t xml:space="preserve">np. </w:t>
            </w:r>
            <w:r>
              <w:rPr>
                <w:sz w:val="18"/>
                <w:szCs w:val="18"/>
              </w:rPr>
              <w:t xml:space="preserve">podatkowych oraz czesnego rodziców. Obecnie doszła </w:t>
            </w:r>
            <w:r w:rsidR="00DB6341">
              <w:rPr>
                <w:sz w:val="18"/>
                <w:szCs w:val="18"/>
              </w:rPr>
              <w:t xml:space="preserve">do tego </w:t>
            </w:r>
            <w:r>
              <w:rPr>
                <w:sz w:val="18"/>
                <w:szCs w:val="18"/>
              </w:rPr>
              <w:t>jeszcze dotacja państwa na 3, 4 i 5 –</w:t>
            </w:r>
            <w:r w:rsidR="00542A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latki i subwencja dla dzieci 6 – letnich. To dla przyjętego rozwiązania nie ma </w:t>
            </w:r>
            <w:r w:rsidR="00750E07">
              <w:rPr>
                <w:sz w:val="18"/>
                <w:szCs w:val="18"/>
              </w:rPr>
              <w:t xml:space="preserve">jednak </w:t>
            </w:r>
            <w:r>
              <w:rPr>
                <w:sz w:val="18"/>
                <w:szCs w:val="18"/>
              </w:rPr>
              <w:t>żadnego</w:t>
            </w:r>
            <w:r w:rsidR="00750E07">
              <w:rPr>
                <w:sz w:val="18"/>
                <w:szCs w:val="18"/>
              </w:rPr>
              <w:t xml:space="preserve"> znaczenia. To są dochody gminy, a przedszkole otrzymuje </w:t>
            </w:r>
            <w:r w:rsidR="00DB6341">
              <w:rPr>
                <w:sz w:val="18"/>
                <w:szCs w:val="18"/>
              </w:rPr>
              <w:t xml:space="preserve">po prostu </w:t>
            </w:r>
            <w:r w:rsidR="00750E07">
              <w:rPr>
                <w:sz w:val="18"/>
                <w:szCs w:val="18"/>
              </w:rPr>
              <w:t>dotację.</w:t>
            </w:r>
          </w:p>
          <w:p w:rsidR="00310FC5" w:rsidRDefault="00310FC5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568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oddziałach </w:t>
            </w:r>
            <w:r w:rsidRPr="00456851">
              <w:rPr>
                <w:sz w:val="18"/>
                <w:szCs w:val="18"/>
              </w:rPr>
              <w:t xml:space="preserve"> przed</w:t>
            </w:r>
            <w:r>
              <w:rPr>
                <w:sz w:val="18"/>
                <w:szCs w:val="18"/>
              </w:rPr>
              <w:t>szkolnych szkół podstawowych</w:t>
            </w:r>
            <w:r w:rsidRPr="004568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zmianę sposobu </w:t>
            </w:r>
            <w:r w:rsidR="000E5870">
              <w:rPr>
                <w:sz w:val="18"/>
                <w:szCs w:val="18"/>
              </w:rPr>
              <w:t xml:space="preserve">ich </w:t>
            </w:r>
            <w:r>
              <w:rPr>
                <w:sz w:val="18"/>
                <w:szCs w:val="18"/>
              </w:rPr>
              <w:t xml:space="preserve">finansowania </w:t>
            </w:r>
            <w:r w:rsidR="00E00F04">
              <w:rPr>
                <w:sz w:val="18"/>
                <w:szCs w:val="18"/>
              </w:rPr>
              <w:t>przyjęliśmy w 2008</w:t>
            </w:r>
            <w:r w:rsidR="000E5870">
              <w:rPr>
                <w:sz w:val="18"/>
                <w:szCs w:val="18"/>
              </w:rPr>
              <w:t>r. Ona również została ujęta w zarządzeniu Burmistrza w sprawie standardów oświatowych</w:t>
            </w:r>
            <w:r w:rsidR="00E00F04">
              <w:rPr>
                <w:sz w:val="18"/>
                <w:szCs w:val="18"/>
              </w:rPr>
              <w:t xml:space="preserve"> (aneks)</w:t>
            </w:r>
            <w:r w:rsidR="000E5870">
              <w:rPr>
                <w:sz w:val="18"/>
                <w:szCs w:val="18"/>
              </w:rPr>
              <w:t xml:space="preserve">. </w:t>
            </w:r>
            <w:r w:rsidR="00780767">
              <w:rPr>
                <w:sz w:val="18"/>
                <w:szCs w:val="18"/>
              </w:rPr>
              <w:t xml:space="preserve">Tu sprawa jest jeszcze prostsza: przy tworzeniu budżetu oddziałów przedszkolnych w </w:t>
            </w:r>
            <w:r w:rsidR="00780767">
              <w:rPr>
                <w:sz w:val="18"/>
                <w:szCs w:val="18"/>
              </w:rPr>
              <w:lastRenderedPageBreak/>
              <w:t>szkołach po</w:t>
            </w:r>
            <w:r w:rsidR="0098442F">
              <w:rPr>
                <w:sz w:val="18"/>
                <w:szCs w:val="18"/>
              </w:rPr>
              <w:t>dstawowych, niejako z definicji</w:t>
            </w:r>
            <w:r w:rsidR="00780767">
              <w:rPr>
                <w:sz w:val="18"/>
                <w:szCs w:val="18"/>
              </w:rPr>
              <w:t xml:space="preserve"> przyjmuje się, że </w:t>
            </w:r>
            <w:r w:rsidR="00570C65">
              <w:rPr>
                <w:sz w:val="18"/>
                <w:szCs w:val="18"/>
              </w:rPr>
              <w:t xml:space="preserve">maksymalne </w:t>
            </w:r>
            <w:r w:rsidR="00780767">
              <w:rPr>
                <w:sz w:val="18"/>
                <w:szCs w:val="18"/>
              </w:rPr>
              <w:t>ramy budżetu oddz</w:t>
            </w:r>
            <w:r w:rsidR="00570C65">
              <w:rPr>
                <w:sz w:val="18"/>
                <w:szCs w:val="18"/>
              </w:rPr>
              <w:t>iału to wydatki na wynagrodzenie</w:t>
            </w:r>
            <w:r w:rsidR="00780767">
              <w:rPr>
                <w:sz w:val="18"/>
                <w:szCs w:val="18"/>
              </w:rPr>
              <w:t xml:space="preserve"> plus wydatki rzeczowe </w:t>
            </w:r>
            <w:r w:rsidR="000B6DDF">
              <w:rPr>
                <w:sz w:val="18"/>
                <w:szCs w:val="18"/>
              </w:rPr>
              <w:t xml:space="preserve">(stanowiące 20% przeciętnych </w:t>
            </w:r>
            <w:r w:rsidR="00570C65">
              <w:rPr>
                <w:sz w:val="18"/>
                <w:szCs w:val="18"/>
              </w:rPr>
              <w:t>kosztów wynagrodzenia</w:t>
            </w:r>
            <w:r w:rsidR="000B6DDF">
              <w:rPr>
                <w:sz w:val="18"/>
                <w:szCs w:val="18"/>
              </w:rPr>
              <w:t>)</w:t>
            </w:r>
            <w:r w:rsidR="00780767">
              <w:rPr>
                <w:sz w:val="18"/>
                <w:szCs w:val="18"/>
              </w:rPr>
              <w:t>.</w:t>
            </w:r>
          </w:p>
          <w:p w:rsidR="00310FC5" w:rsidRPr="00310FC5" w:rsidRDefault="00310FC5" w:rsidP="00FF320D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9B5496">
              <w:rPr>
                <w:sz w:val="18"/>
                <w:szCs w:val="18"/>
              </w:rPr>
              <w:t>Szkoły</w:t>
            </w:r>
          </w:p>
          <w:p w:rsidR="007C3ADB" w:rsidRDefault="000C0B2F" w:rsidP="00FF32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Bardzo trudna sytuacja finans</w:t>
            </w:r>
            <w:r w:rsidR="00570C65">
              <w:rPr>
                <w:sz w:val="18"/>
                <w:szCs w:val="18"/>
              </w:rPr>
              <w:t>owa sępoleńskiej oświaty w 2000</w:t>
            </w:r>
            <w:r w:rsidR="006C0F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r., wdrażana wówczas reforma (gimna</w:t>
            </w:r>
            <w:r w:rsidR="0098442F">
              <w:rPr>
                <w:sz w:val="18"/>
                <w:szCs w:val="18"/>
              </w:rPr>
              <w:t>zja) połączona z błędnym nalicze</w:t>
            </w:r>
            <w:r>
              <w:rPr>
                <w:sz w:val="18"/>
                <w:szCs w:val="18"/>
              </w:rPr>
              <w:t>niem przez MEN subwencji dla gmin</w:t>
            </w:r>
            <w:r w:rsidR="00CD05E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wymagały od nas </w:t>
            </w:r>
            <w:r w:rsidR="00CD05E4">
              <w:rPr>
                <w:sz w:val="18"/>
                <w:szCs w:val="18"/>
              </w:rPr>
              <w:t xml:space="preserve">podjęcia </w:t>
            </w:r>
            <w:r>
              <w:rPr>
                <w:sz w:val="18"/>
                <w:szCs w:val="18"/>
              </w:rPr>
              <w:t xml:space="preserve">natychmiastowych działań. </w:t>
            </w:r>
            <w:r w:rsidR="0098442F">
              <w:rPr>
                <w:sz w:val="18"/>
                <w:szCs w:val="18"/>
              </w:rPr>
              <w:t>Czytelnym było</w:t>
            </w:r>
            <w:r>
              <w:rPr>
                <w:sz w:val="18"/>
                <w:szCs w:val="18"/>
              </w:rPr>
              <w:t xml:space="preserve">, że </w:t>
            </w:r>
            <w:r w:rsidR="00CD05E4">
              <w:rPr>
                <w:sz w:val="18"/>
                <w:szCs w:val="18"/>
              </w:rPr>
              <w:t xml:space="preserve">niektóre szkoły wymagają głębokich zmian ich organizacji, a </w:t>
            </w:r>
            <w:r w:rsidR="0098442F">
              <w:rPr>
                <w:sz w:val="18"/>
                <w:szCs w:val="18"/>
              </w:rPr>
              <w:t>wydatki niektórych</w:t>
            </w:r>
            <w:r w:rsidR="00CD05E4">
              <w:rPr>
                <w:sz w:val="18"/>
                <w:szCs w:val="18"/>
              </w:rPr>
              <w:t xml:space="preserve"> zdecydowanego obniżenia. Nowy model finansowania oświaty przyjęty przez MEN </w:t>
            </w:r>
            <w:r w:rsidR="00CD05E4" w:rsidRPr="0098442F">
              <w:rPr>
                <w:i/>
                <w:sz w:val="18"/>
                <w:szCs w:val="18"/>
              </w:rPr>
              <w:t>(„Pieniądz idzie za uczniem”</w:t>
            </w:r>
            <w:r w:rsidR="00CD05E4">
              <w:rPr>
                <w:sz w:val="18"/>
                <w:szCs w:val="18"/>
              </w:rPr>
              <w:t>), mimo jego znacznej nieprzystawalności do realiów szkół na terenach wiejs</w:t>
            </w:r>
            <w:r w:rsidR="00A10567">
              <w:rPr>
                <w:sz w:val="18"/>
                <w:szCs w:val="18"/>
              </w:rPr>
              <w:t xml:space="preserve">kich, był mimo wszystko, dość </w:t>
            </w:r>
            <w:r w:rsidR="00CD05E4">
              <w:rPr>
                <w:sz w:val="18"/>
                <w:szCs w:val="18"/>
              </w:rPr>
              <w:t>dobrym, zobiektywizowanym miernikiem</w:t>
            </w:r>
            <w:r w:rsidR="00424378">
              <w:rPr>
                <w:sz w:val="18"/>
                <w:szCs w:val="18"/>
              </w:rPr>
              <w:t xml:space="preserve"> organizacji każdej ze szkół.</w:t>
            </w:r>
            <w:r w:rsidR="00CD05E4">
              <w:rPr>
                <w:sz w:val="18"/>
                <w:szCs w:val="18"/>
              </w:rPr>
              <w:t xml:space="preserve"> Tak jest </w:t>
            </w:r>
            <w:r w:rsidR="00424378">
              <w:rPr>
                <w:sz w:val="18"/>
                <w:szCs w:val="18"/>
              </w:rPr>
              <w:t xml:space="preserve">zresztą </w:t>
            </w:r>
            <w:r w:rsidR="00CD05E4">
              <w:rPr>
                <w:sz w:val="18"/>
                <w:szCs w:val="18"/>
              </w:rPr>
              <w:t xml:space="preserve">nadal. </w:t>
            </w:r>
            <w:r w:rsidR="00424378">
              <w:rPr>
                <w:sz w:val="18"/>
                <w:szCs w:val="18"/>
              </w:rPr>
              <w:t>No tak, ale pieniądz idzie za uczniem do gminy. Aby ocenić każdą ze szkół</w:t>
            </w:r>
            <w:r w:rsidR="00DA64D2">
              <w:rPr>
                <w:sz w:val="18"/>
                <w:szCs w:val="18"/>
              </w:rPr>
              <w:t>,</w:t>
            </w:r>
            <w:r w:rsidR="00424378">
              <w:rPr>
                <w:sz w:val="18"/>
                <w:szCs w:val="18"/>
              </w:rPr>
              <w:t xml:space="preserve"> trzeba koniecznie podziel</w:t>
            </w:r>
            <w:r w:rsidR="00570C65">
              <w:rPr>
                <w:sz w:val="18"/>
                <w:szCs w:val="18"/>
              </w:rPr>
              <w:t>ić subwencję dla każdej z nich</w:t>
            </w:r>
            <w:r w:rsidR="00424378">
              <w:rPr>
                <w:sz w:val="18"/>
                <w:szCs w:val="18"/>
              </w:rPr>
              <w:t xml:space="preserve">. </w:t>
            </w:r>
          </w:p>
          <w:p w:rsidR="00F62EAB" w:rsidRDefault="00A31AE0" w:rsidP="00542A52">
            <w:pPr>
              <w:spacing w:before="60"/>
              <w:jc w:val="both"/>
              <w:rPr>
                <w:sz w:val="18"/>
                <w:szCs w:val="18"/>
              </w:rPr>
            </w:pPr>
            <w:r w:rsidRPr="00D913E1">
              <w:rPr>
                <w:sz w:val="18"/>
                <w:szCs w:val="18"/>
              </w:rPr>
              <w:t>Wyliczenie dla danej placówki mieści się na jednej ka</w:t>
            </w:r>
            <w:r w:rsidR="00570C65">
              <w:rPr>
                <w:sz w:val="18"/>
                <w:szCs w:val="18"/>
              </w:rPr>
              <w:t xml:space="preserve">rtce </w:t>
            </w:r>
            <w:r w:rsidR="00727C96">
              <w:rPr>
                <w:sz w:val="18"/>
                <w:szCs w:val="18"/>
              </w:rPr>
              <w:t xml:space="preserve">A4 w arkuszu kalkulacyjnym Excela. Aby poprawnie podzielić subwencję </w:t>
            </w:r>
            <w:r w:rsidR="0098138B">
              <w:rPr>
                <w:sz w:val="18"/>
                <w:szCs w:val="18"/>
              </w:rPr>
              <w:t>dla szkół</w:t>
            </w:r>
            <w:r w:rsidR="00DA64D2">
              <w:rPr>
                <w:sz w:val="18"/>
                <w:szCs w:val="18"/>
              </w:rPr>
              <w:t>,</w:t>
            </w:r>
            <w:r w:rsidR="0098138B">
              <w:rPr>
                <w:sz w:val="18"/>
                <w:szCs w:val="18"/>
              </w:rPr>
              <w:t xml:space="preserve"> </w:t>
            </w:r>
            <w:r w:rsidR="00727C96">
              <w:rPr>
                <w:sz w:val="18"/>
                <w:szCs w:val="18"/>
              </w:rPr>
              <w:t>należy:</w:t>
            </w:r>
          </w:p>
          <w:p w:rsidR="007C3ADB" w:rsidRDefault="00727C96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C3ADB">
              <w:rPr>
                <w:sz w:val="18"/>
                <w:szCs w:val="18"/>
              </w:rPr>
              <w:t>skorz</w:t>
            </w:r>
            <w:r w:rsidR="00570C65">
              <w:rPr>
                <w:sz w:val="18"/>
                <w:szCs w:val="18"/>
              </w:rPr>
              <w:t>ystać z zapisów (zmienianego</w:t>
            </w:r>
            <w:r w:rsidR="007C3ADB">
              <w:rPr>
                <w:sz w:val="18"/>
                <w:szCs w:val="18"/>
              </w:rPr>
              <w:t xml:space="preserve"> corocznie) załącznika do rozporządzenia MEN w sprawie </w:t>
            </w:r>
            <w:r w:rsidR="00B85CF9">
              <w:rPr>
                <w:sz w:val="18"/>
                <w:szCs w:val="18"/>
              </w:rPr>
              <w:t xml:space="preserve">algorytmu </w:t>
            </w:r>
            <w:r w:rsidR="007C3ADB">
              <w:rPr>
                <w:sz w:val="18"/>
                <w:szCs w:val="18"/>
              </w:rPr>
              <w:t>podziału części</w:t>
            </w:r>
            <w:r w:rsidR="00B85CF9">
              <w:rPr>
                <w:sz w:val="18"/>
                <w:szCs w:val="18"/>
              </w:rPr>
              <w:t xml:space="preserve"> oświatowej subwencji ogólnej dla </w:t>
            </w:r>
            <w:proofErr w:type="spellStart"/>
            <w:r w:rsidR="00B85CF9">
              <w:rPr>
                <w:sz w:val="18"/>
                <w:szCs w:val="18"/>
              </w:rPr>
              <w:t>jst</w:t>
            </w:r>
            <w:proofErr w:type="spellEnd"/>
            <w:r w:rsidR="00B85CF9">
              <w:rPr>
                <w:sz w:val="18"/>
                <w:szCs w:val="18"/>
              </w:rPr>
              <w:t xml:space="preserve">. W sporządzanym wyliczeniu </w:t>
            </w:r>
            <w:r w:rsidR="007C3ADB">
              <w:rPr>
                <w:sz w:val="18"/>
                <w:szCs w:val="18"/>
              </w:rPr>
              <w:t>szkoła staje się „gminą”, a gmina „krajem”;</w:t>
            </w:r>
          </w:p>
          <w:p w:rsidR="00727C96" w:rsidRDefault="007C3ADB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27C96">
              <w:rPr>
                <w:sz w:val="18"/>
                <w:szCs w:val="18"/>
              </w:rPr>
              <w:t>określić dla każdej ze szkół wskaźniki udziału liczby n-li w poszczególnych st. awansu</w:t>
            </w:r>
            <w:r w:rsidR="00B85CF9">
              <w:rPr>
                <w:sz w:val="18"/>
                <w:szCs w:val="18"/>
              </w:rPr>
              <w:t>:</w:t>
            </w:r>
            <w:r w:rsidR="000A662C">
              <w:rPr>
                <w:sz w:val="18"/>
                <w:szCs w:val="18"/>
              </w:rPr>
              <w:t xml:space="preserve"> </w:t>
            </w:r>
            <w:proofErr w:type="spellStart"/>
            <w:r w:rsidR="000A662C">
              <w:rPr>
                <w:sz w:val="18"/>
                <w:szCs w:val="18"/>
              </w:rPr>
              <w:t>Wss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Wks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Wms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Wds</w:t>
            </w:r>
            <w:proofErr w:type="spellEnd"/>
            <w:r w:rsidR="00727C96">
              <w:rPr>
                <w:sz w:val="18"/>
                <w:szCs w:val="18"/>
              </w:rPr>
              <w:t>;</w:t>
            </w:r>
          </w:p>
          <w:p w:rsidR="00727C96" w:rsidRDefault="00727C96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określić dla gminy wskaźniki udziału liczby n-li w poszczególnych st. awansu</w:t>
            </w:r>
            <w:r w:rsidR="00B85CF9">
              <w:rPr>
                <w:sz w:val="18"/>
                <w:szCs w:val="18"/>
              </w:rPr>
              <w:t>:</w:t>
            </w:r>
            <w:r w:rsidR="000A662C">
              <w:rPr>
                <w:sz w:val="18"/>
                <w:szCs w:val="18"/>
              </w:rPr>
              <w:t xml:space="preserve"> </w:t>
            </w:r>
            <w:proofErr w:type="spellStart"/>
            <w:r w:rsidR="000A662C">
              <w:rPr>
                <w:sz w:val="18"/>
                <w:szCs w:val="18"/>
              </w:rPr>
              <w:t>Wsg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Wkg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Wmg</w:t>
            </w:r>
            <w:proofErr w:type="spellEnd"/>
            <w:r w:rsidR="000A662C">
              <w:rPr>
                <w:sz w:val="18"/>
                <w:szCs w:val="18"/>
              </w:rPr>
              <w:t xml:space="preserve">, </w:t>
            </w:r>
            <w:proofErr w:type="spellStart"/>
            <w:r w:rsidR="000A662C">
              <w:rPr>
                <w:sz w:val="18"/>
                <w:szCs w:val="18"/>
              </w:rPr>
              <w:t>Wdg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727C96" w:rsidRDefault="00727C96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określić przeciętne, minimalne wynagrodzenie średnie w szkole i w gminie</w:t>
            </w:r>
            <w:r w:rsidR="00B85CF9">
              <w:rPr>
                <w:sz w:val="18"/>
                <w:szCs w:val="18"/>
              </w:rPr>
              <w:t>:</w:t>
            </w:r>
            <w:r w:rsidR="000A662C">
              <w:rPr>
                <w:sz w:val="18"/>
                <w:szCs w:val="18"/>
              </w:rPr>
              <w:t xml:space="preserve"> P</w:t>
            </w:r>
            <w:r w:rsidR="00A10567">
              <w:rPr>
                <w:sz w:val="18"/>
                <w:szCs w:val="18"/>
              </w:rPr>
              <w:t xml:space="preserve"> </w:t>
            </w:r>
            <w:r w:rsidR="0098138B">
              <w:rPr>
                <w:rFonts w:cs="Arial"/>
                <w:sz w:val="18"/>
                <w:szCs w:val="18"/>
              </w:rPr>
              <w:t>·</w:t>
            </w:r>
            <w:r w:rsidR="00A1056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0A662C">
              <w:rPr>
                <w:sz w:val="18"/>
                <w:szCs w:val="18"/>
              </w:rPr>
              <w:t>Ws</w:t>
            </w:r>
            <w:proofErr w:type="spellEnd"/>
            <w:r w:rsidR="000A662C">
              <w:rPr>
                <w:sz w:val="18"/>
                <w:szCs w:val="18"/>
              </w:rPr>
              <w:t xml:space="preserve"> oraz P</w:t>
            </w:r>
            <w:r w:rsidR="0098138B">
              <w:rPr>
                <w:sz w:val="18"/>
                <w:szCs w:val="18"/>
              </w:rPr>
              <w:t xml:space="preserve"> </w:t>
            </w:r>
            <w:r w:rsidR="0098138B">
              <w:rPr>
                <w:rFonts w:cs="Arial"/>
                <w:sz w:val="18"/>
                <w:szCs w:val="18"/>
              </w:rPr>
              <w:t>·</w:t>
            </w:r>
            <w:r w:rsidR="0098138B">
              <w:rPr>
                <w:sz w:val="18"/>
                <w:szCs w:val="18"/>
              </w:rPr>
              <w:t xml:space="preserve"> </w:t>
            </w:r>
            <w:r w:rsidR="000A662C">
              <w:rPr>
                <w:sz w:val="18"/>
                <w:szCs w:val="18"/>
              </w:rPr>
              <w:t>Wg</w:t>
            </w:r>
            <w:r>
              <w:rPr>
                <w:sz w:val="18"/>
                <w:szCs w:val="18"/>
              </w:rPr>
              <w:t>;</w:t>
            </w:r>
          </w:p>
          <w:p w:rsidR="007C3ADB" w:rsidRDefault="00727C96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wyliczyć płacowy wskaźnik struktury zatrudnienia n-li w szkole</w:t>
            </w:r>
            <w:r w:rsidR="00B85CF9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Wai</w:t>
            </w:r>
            <w:r w:rsidR="00A10567" w:rsidRPr="00A10567">
              <w:rPr>
                <w:sz w:val="18"/>
                <w:szCs w:val="18"/>
                <w:vertAlign w:val="subscript"/>
              </w:rPr>
              <w:t>s</w:t>
            </w:r>
            <w:r w:rsidR="007C3ADB">
              <w:rPr>
                <w:sz w:val="18"/>
                <w:szCs w:val="18"/>
              </w:rPr>
              <w:t>;</w:t>
            </w:r>
          </w:p>
          <w:p w:rsidR="00727C96" w:rsidRDefault="007C3ADB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wyliczyć wskaźnik korygujący dla szkoły</w:t>
            </w:r>
            <w:r w:rsidR="00B85CF9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="00727C96">
              <w:rPr>
                <w:sz w:val="18"/>
                <w:szCs w:val="18"/>
              </w:rPr>
              <w:t>Di</w:t>
            </w:r>
            <w:r w:rsidR="00E370D0" w:rsidRPr="00E370D0">
              <w:rPr>
                <w:sz w:val="18"/>
                <w:szCs w:val="18"/>
                <w:vertAlign w:val="subscript"/>
              </w:rPr>
              <w:t>s</w:t>
            </w:r>
            <w:proofErr w:type="spellEnd"/>
            <w:r w:rsidR="00727C96">
              <w:rPr>
                <w:sz w:val="18"/>
                <w:szCs w:val="18"/>
              </w:rPr>
              <w:t>;</w:t>
            </w:r>
          </w:p>
          <w:p w:rsidR="00A10567" w:rsidRDefault="007C3ADB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ująć do obliczeń dane dot. liczby uczniów</w:t>
            </w:r>
            <w:r w:rsidR="000A662C">
              <w:rPr>
                <w:sz w:val="18"/>
                <w:szCs w:val="18"/>
              </w:rPr>
              <w:t xml:space="preserve"> i n-li tożsame z ujętymi</w:t>
            </w:r>
            <w:r w:rsidR="006C0FAA">
              <w:rPr>
                <w:sz w:val="18"/>
                <w:szCs w:val="18"/>
              </w:rPr>
              <w:t xml:space="preserve"> w SIO na 30 września</w:t>
            </w:r>
            <w:r>
              <w:rPr>
                <w:sz w:val="18"/>
                <w:szCs w:val="18"/>
              </w:rPr>
              <w:t>;</w:t>
            </w:r>
            <w:r w:rsidR="00A10567">
              <w:rPr>
                <w:sz w:val="18"/>
                <w:szCs w:val="18"/>
              </w:rPr>
              <w:t xml:space="preserve"> </w:t>
            </w:r>
          </w:p>
          <w:p w:rsidR="00727C96" w:rsidRDefault="00A10567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prowadzić wyliczenia, w wypadku miejsc po przecinku, z dokładnością przyjętą w MEN (metryczka), a otrzymany wynik będzie mieć dokładność do kilku zł;</w:t>
            </w:r>
          </w:p>
          <w:p w:rsidR="00E370D0" w:rsidRDefault="000A662C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przyjąć do wyliczeń</w:t>
            </w:r>
            <w:r w:rsidR="007C3ADB">
              <w:rPr>
                <w:sz w:val="18"/>
                <w:szCs w:val="18"/>
              </w:rPr>
              <w:t xml:space="preserve"> jednolity w gminie standard finansowy „A</w:t>
            </w:r>
            <w:r w:rsidR="00A10567">
              <w:rPr>
                <w:sz w:val="18"/>
                <w:szCs w:val="18"/>
              </w:rPr>
              <w:t xml:space="preserve"> </w:t>
            </w:r>
            <w:r w:rsidRPr="00A10567">
              <w:rPr>
                <w:sz w:val="18"/>
                <w:szCs w:val="18"/>
                <w:vertAlign w:val="subscript"/>
              </w:rPr>
              <w:t>gminy</w:t>
            </w:r>
            <w:r w:rsidR="007C3ADB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 obliczony</w:t>
            </w:r>
            <w:r w:rsidR="007C3ADB">
              <w:rPr>
                <w:sz w:val="18"/>
                <w:szCs w:val="18"/>
              </w:rPr>
              <w:t xml:space="preserve"> jako iloraz</w:t>
            </w:r>
            <w:r w:rsidR="00AF691D">
              <w:rPr>
                <w:sz w:val="18"/>
                <w:szCs w:val="18"/>
              </w:rPr>
              <w:t>:</w:t>
            </w:r>
            <w:r w:rsidR="007C3ADB">
              <w:rPr>
                <w:sz w:val="18"/>
                <w:szCs w:val="18"/>
              </w:rPr>
              <w:t xml:space="preserve"> subwencji oświatowej SO dla </w:t>
            </w:r>
            <w:r>
              <w:rPr>
                <w:sz w:val="18"/>
                <w:szCs w:val="18"/>
              </w:rPr>
              <w:t xml:space="preserve">danej </w:t>
            </w:r>
            <w:r w:rsidR="007C3ADB">
              <w:rPr>
                <w:sz w:val="18"/>
                <w:szCs w:val="18"/>
              </w:rPr>
              <w:t xml:space="preserve">gminy </w:t>
            </w:r>
            <w:r w:rsidR="00AF691D">
              <w:rPr>
                <w:sz w:val="18"/>
                <w:szCs w:val="18"/>
              </w:rPr>
              <w:t xml:space="preserve">podzielonej </w:t>
            </w:r>
            <w:r w:rsidR="007C3ADB">
              <w:rPr>
                <w:sz w:val="18"/>
                <w:szCs w:val="18"/>
              </w:rPr>
              <w:t>przez sumy iloczynów uczniów przeliczeniow</w:t>
            </w:r>
            <w:r>
              <w:rPr>
                <w:sz w:val="18"/>
                <w:szCs w:val="18"/>
              </w:rPr>
              <w:t xml:space="preserve">ych </w:t>
            </w:r>
            <w:proofErr w:type="spellStart"/>
            <w:r>
              <w:rPr>
                <w:sz w:val="18"/>
                <w:szCs w:val="18"/>
              </w:rPr>
              <w:t>Up</w:t>
            </w:r>
            <w:r w:rsidR="00E370D0" w:rsidRPr="00A10567">
              <w:rPr>
                <w:sz w:val="18"/>
                <w:szCs w:val="18"/>
                <w:vertAlign w:val="subscript"/>
              </w:rPr>
              <w:t>s</w:t>
            </w:r>
            <w:proofErr w:type="spellEnd"/>
            <w:r>
              <w:rPr>
                <w:sz w:val="18"/>
                <w:szCs w:val="18"/>
              </w:rPr>
              <w:t xml:space="preserve"> każdej ze szkół i wskaźników korygujących </w:t>
            </w:r>
            <w:proofErr w:type="spellStart"/>
            <w:r>
              <w:rPr>
                <w:sz w:val="18"/>
                <w:szCs w:val="18"/>
              </w:rPr>
              <w:t>Di</w:t>
            </w:r>
            <w:r w:rsidR="00E370D0" w:rsidRPr="00A10567">
              <w:rPr>
                <w:sz w:val="18"/>
                <w:szCs w:val="18"/>
                <w:vertAlign w:val="subscript"/>
              </w:rPr>
              <w:t>s</w:t>
            </w:r>
            <w:proofErr w:type="spellEnd"/>
            <w:r w:rsidR="00E370D0">
              <w:rPr>
                <w:sz w:val="18"/>
                <w:szCs w:val="18"/>
              </w:rPr>
              <w:t xml:space="preserve"> każdej ze szkół, dzieci przeliczeniowych 6 - letnich</w:t>
            </w:r>
            <w:r w:rsidR="00AF691D">
              <w:rPr>
                <w:sz w:val="18"/>
                <w:szCs w:val="18"/>
              </w:rPr>
              <w:t xml:space="preserve"> objętych subwencją </w:t>
            </w:r>
            <w:proofErr w:type="spellStart"/>
            <w:r w:rsidR="00AF691D">
              <w:rPr>
                <w:sz w:val="18"/>
                <w:szCs w:val="18"/>
              </w:rPr>
              <w:t>Uz</w:t>
            </w:r>
            <w:r w:rsidR="00E370D0" w:rsidRPr="00A10567">
              <w:rPr>
                <w:sz w:val="18"/>
                <w:szCs w:val="18"/>
                <w:vertAlign w:val="subscript"/>
              </w:rPr>
              <w:t>p</w:t>
            </w:r>
            <w:proofErr w:type="spellEnd"/>
            <w:r w:rsidR="0098138B">
              <w:rPr>
                <w:sz w:val="18"/>
                <w:szCs w:val="18"/>
              </w:rPr>
              <w:t xml:space="preserve"> każdego z przedszkoli i </w:t>
            </w:r>
            <w:r w:rsidR="00E370D0">
              <w:rPr>
                <w:sz w:val="18"/>
                <w:szCs w:val="18"/>
              </w:rPr>
              <w:t xml:space="preserve">Di gminy oraz </w:t>
            </w:r>
            <w:r w:rsidR="0098138B">
              <w:rPr>
                <w:sz w:val="18"/>
                <w:szCs w:val="18"/>
              </w:rPr>
              <w:t xml:space="preserve">dzieci niepełnosprawnych </w:t>
            </w:r>
            <w:r w:rsidR="00AF691D">
              <w:rPr>
                <w:sz w:val="18"/>
                <w:szCs w:val="18"/>
              </w:rPr>
              <w:t xml:space="preserve">objętych subwencją </w:t>
            </w:r>
            <w:proofErr w:type="spellStart"/>
            <w:r w:rsidR="00AF691D">
              <w:rPr>
                <w:sz w:val="18"/>
                <w:szCs w:val="18"/>
              </w:rPr>
              <w:t>Uz</w:t>
            </w:r>
            <w:r w:rsidR="00AF691D" w:rsidRPr="00A10567">
              <w:rPr>
                <w:sz w:val="18"/>
                <w:szCs w:val="18"/>
                <w:vertAlign w:val="subscript"/>
              </w:rPr>
              <w:t>np</w:t>
            </w:r>
            <w:proofErr w:type="spellEnd"/>
            <w:r w:rsidR="00AF691D">
              <w:rPr>
                <w:sz w:val="18"/>
                <w:szCs w:val="18"/>
              </w:rPr>
              <w:t xml:space="preserve"> </w:t>
            </w:r>
            <w:r w:rsidR="0098138B">
              <w:rPr>
                <w:sz w:val="18"/>
                <w:szCs w:val="18"/>
              </w:rPr>
              <w:t xml:space="preserve">każdego z przedszkoli i wskaźnika korygującego </w:t>
            </w:r>
            <w:r w:rsidR="00E370D0">
              <w:rPr>
                <w:sz w:val="18"/>
                <w:szCs w:val="18"/>
              </w:rPr>
              <w:t xml:space="preserve">Di </w:t>
            </w:r>
            <w:r w:rsidR="00AF691D">
              <w:rPr>
                <w:sz w:val="18"/>
                <w:szCs w:val="18"/>
              </w:rPr>
              <w:t>gminy.</w:t>
            </w:r>
          </w:p>
          <w:p w:rsidR="008F11F9" w:rsidRDefault="000A662C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E370D0">
              <w:rPr>
                <w:sz w:val="18"/>
                <w:szCs w:val="18"/>
              </w:rPr>
              <w:t xml:space="preserve"> </w:t>
            </w:r>
            <w:r w:rsidRPr="00E370D0">
              <w:rPr>
                <w:sz w:val="18"/>
                <w:szCs w:val="18"/>
                <w:vertAlign w:val="subscript"/>
              </w:rPr>
              <w:t>gminy</w:t>
            </w:r>
            <w:r>
              <w:rPr>
                <w:sz w:val="18"/>
                <w:szCs w:val="18"/>
              </w:rPr>
              <w:t xml:space="preserve"> = </w:t>
            </w:r>
            <w:r w:rsidR="00E370D0">
              <w:rPr>
                <w:sz w:val="18"/>
                <w:szCs w:val="18"/>
              </w:rPr>
              <w:t xml:space="preserve">SO </w:t>
            </w:r>
            <w:r w:rsidRPr="00E370D0">
              <w:rPr>
                <w:sz w:val="18"/>
                <w:szCs w:val="18"/>
                <w:vertAlign w:val="subscript"/>
              </w:rPr>
              <w:t>gminy</w:t>
            </w:r>
            <w:r w:rsidR="00E370D0">
              <w:rPr>
                <w:sz w:val="18"/>
                <w:szCs w:val="18"/>
                <w:vertAlign w:val="subscript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E370D0">
              <w:rPr>
                <w:sz w:val="18"/>
                <w:szCs w:val="18"/>
              </w:rPr>
              <w:t xml:space="preserve"> </w:t>
            </w:r>
            <w:r w:rsidR="003A7A2A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(Up</w:t>
            </w:r>
            <w:r w:rsidRPr="000A662C">
              <w:rPr>
                <w:sz w:val="18"/>
                <w:szCs w:val="18"/>
                <w:vertAlign w:val="subscript"/>
              </w:rPr>
              <w:t>s1</w:t>
            </w:r>
            <w:r w:rsidR="0098138B">
              <w:rPr>
                <w:sz w:val="18"/>
                <w:szCs w:val="18"/>
              </w:rPr>
              <w:t xml:space="preserve"> </w:t>
            </w:r>
            <w:r w:rsidR="0098138B">
              <w:rPr>
                <w:rFonts w:cs="Arial"/>
                <w:sz w:val="18"/>
                <w:szCs w:val="18"/>
              </w:rPr>
              <w:t>·</w:t>
            </w:r>
            <w:r w:rsidR="0098138B">
              <w:rPr>
                <w:sz w:val="18"/>
                <w:szCs w:val="18"/>
              </w:rPr>
              <w:t xml:space="preserve"> Di</w:t>
            </w:r>
            <w:r w:rsidRPr="000A662C">
              <w:rPr>
                <w:sz w:val="18"/>
                <w:szCs w:val="18"/>
                <w:vertAlign w:val="subscript"/>
              </w:rPr>
              <w:t>s1</w:t>
            </w:r>
            <w:r>
              <w:rPr>
                <w:sz w:val="18"/>
                <w:szCs w:val="18"/>
              </w:rPr>
              <w:t xml:space="preserve"> +</w:t>
            </w:r>
            <w:r w:rsidR="00E370D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Up</w:t>
            </w:r>
            <w:r w:rsidRPr="000A662C">
              <w:rPr>
                <w:sz w:val="18"/>
                <w:szCs w:val="18"/>
                <w:vertAlign w:val="subscript"/>
              </w:rPr>
              <w:t>s2</w:t>
            </w:r>
            <w:r w:rsidR="0098138B">
              <w:rPr>
                <w:sz w:val="18"/>
                <w:szCs w:val="18"/>
              </w:rPr>
              <w:t xml:space="preserve"> </w:t>
            </w:r>
            <w:r w:rsidR="0098138B">
              <w:rPr>
                <w:rFonts w:cs="Arial"/>
                <w:sz w:val="18"/>
                <w:szCs w:val="18"/>
              </w:rPr>
              <w:t>·</w:t>
            </w:r>
            <w:r>
              <w:rPr>
                <w:sz w:val="18"/>
                <w:szCs w:val="18"/>
              </w:rPr>
              <w:t xml:space="preserve"> Di</w:t>
            </w:r>
            <w:r w:rsidRPr="000A662C">
              <w:rPr>
                <w:sz w:val="18"/>
                <w:szCs w:val="18"/>
                <w:vertAlign w:val="subscript"/>
              </w:rPr>
              <w:t>s2</w:t>
            </w:r>
            <w:r>
              <w:rPr>
                <w:sz w:val="18"/>
                <w:szCs w:val="18"/>
                <w:vertAlign w:val="subscript"/>
              </w:rPr>
              <w:t xml:space="preserve"> </w:t>
            </w:r>
            <w:r>
              <w:rPr>
                <w:sz w:val="18"/>
                <w:szCs w:val="18"/>
              </w:rPr>
              <w:t>+</w:t>
            </w:r>
            <w:r w:rsidR="003A7A2A">
              <w:rPr>
                <w:sz w:val="18"/>
                <w:szCs w:val="18"/>
              </w:rPr>
              <w:t xml:space="preserve"> ... +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Up</w:t>
            </w:r>
            <w:r w:rsidRPr="000A662C">
              <w:rPr>
                <w:sz w:val="18"/>
                <w:szCs w:val="18"/>
                <w:vertAlign w:val="subscript"/>
              </w:rPr>
              <w:t>sn</w:t>
            </w:r>
            <w:proofErr w:type="spellEnd"/>
            <w:r w:rsidR="0098138B">
              <w:rPr>
                <w:sz w:val="18"/>
                <w:szCs w:val="18"/>
              </w:rPr>
              <w:t xml:space="preserve"> </w:t>
            </w:r>
            <w:r w:rsidR="0098138B">
              <w:rPr>
                <w:rFonts w:cs="Arial"/>
                <w:sz w:val="18"/>
                <w:szCs w:val="18"/>
              </w:rPr>
              <w:t>·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</w:t>
            </w:r>
            <w:r w:rsidRPr="000A662C">
              <w:rPr>
                <w:sz w:val="18"/>
                <w:szCs w:val="18"/>
                <w:vertAlign w:val="subscript"/>
              </w:rPr>
              <w:t>sn</w:t>
            </w:r>
            <w:proofErr w:type="spellEnd"/>
            <w:r w:rsidR="003A7A2A" w:rsidRPr="003A7A2A">
              <w:rPr>
                <w:sz w:val="18"/>
                <w:szCs w:val="18"/>
              </w:rPr>
              <w:t>)</w:t>
            </w:r>
            <w:r w:rsidR="00E370D0">
              <w:rPr>
                <w:sz w:val="18"/>
                <w:szCs w:val="18"/>
                <w:vertAlign w:val="subscript"/>
              </w:rPr>
              <w:t xml:space="preserve"> </w:t>
            </w:r>
            <w:r w:rsidR="00E370D0" w:rsidRPr="00E370D0">
              <w:rPr>
                <w:sz w:val="18"/>
                <w:szCs w:val="18"/>
              </w:rPr>
              <w:t>+</w:t>
            </w:r>
            <w:r w:rsidR="00E370D0">
              <w:rPr>
                <w:sz w:val="18"/>
                <w:szCs w:val="18"/>
                <w:vertAlign w:val="subscript"/>
              </w:rPr>
              <w:t xml:space="preserve"> </w:t>
            </w:r>
            <w:r w:rsidR="003A7A2A" w:rsidRPr="003A7A2A">
              <w:rPr>
                <w:sz w:val="18"/>
                <w:szCs w:val="18"/>
              </w:rPr>
              <w:t>(</w:t>
            </w:r>
            <w:r w:rsidR="00AF691D">
              <w:rPr>
                <w:sz w:val="18"/>
                <w:szCs w:val="18"/>
              </w:rPr>
              <w:t>Uz</w:t>
            </w:r>
            <w:r w:rsidR="00E370D0" w:rsidRPr="00E370D0">
              <w:rPr>
                <w:sz w:val="18"/>
                <w:szCs w:val="18"/>
                <w:vertAlign w:val="subscript"/>
              </w:rPr>
              <w:t>p1</w:t>
            </w:r>
            <w:r w:rsidR="00E370D0">
              <w:rPr>
                <w:sz w:val="18"/>
                <w:szCs w:val="18"/>
              </w:rPr>
              <w:t xml:space="preserve"> </w:t>
            </w:r>
            <w:r w:rsidR="00E370D0" w:rsidRPr="00E370D0">
              <w:rPr>
                <w:sz w:val="18"/>
                <w:szCs w:val="18"/>
              </w:rPr>
              <w:t>+</w:t>
            </w:r>
            <w:r w:rsidR="00E370D0">
              <w:rPr>
                <w:sz w:val="18"/>
                <w:szCs w:val="18"/>
                <w:vertAlign w:val="subscript"/>
              </w:rPr>
              <w:t xml:space="preserve"> </w:t>
            </w:r>
            <w:r w:rsidR="00AF691D">
              <w:rPr>
                <w:sz w:val="18"/>
                <w:szCs w:val="18"/>
              </w:rPr>
              <w:t>Uz</w:t>
            </w:r>
            <w:r w:rsidR="00E370D0" w:rsidRPr="00E370D0">
              <w:rPr>
                <w:sz w:val="18"/>
                <w:szCs w:val="18"/>
                <w:vertAlign w:val="subscript"/>
              </w:rPr>
              <w:t>p2</w:t>
            </w:r>
            <w:r w:rsidR="003A7A2A">
              <w:rPr>
                <w:sz w:val="18"/>
                <w:szCs w:val="18"/>
              </w:rPr>
              <w:t xml:space="preserve"> </w:t>
            </w:r>
            <w:r w:rsidR="00AF691D">
              <w:rPr>
                <w:sz w:val="18"/>
                <w:szCs w:val="18"/>
              </w:rPr>
              <w:t xml:space="preserve">+ </w:t>
            </w:r>
            <w:r w:rsidR="003A7A2A">
              <w:rPr>
                <w:sz w:val="18"/>
                <w:szCs w:val="18"/>
              </w:rPr>
              <w:t xml:space="preserve">... + </w:t>
            </w:r>
            <w:proofErr w:type="spellStart"/>
            <w:r w:rsidR="00AF691D">
              <w:rPr>
                <w:sz w:val="18"/>
                <w:szCs w:val="18"/>
              </w:rPr>
              <w:t>Uz</w:t>
            </w:r>
            <w:r w:rsidR="00E370D0" w:rsidRPr="00E370D0">
              <w:rPr>
                <w:sz w:val="18"/>
                <w:szCs w:val="18"/>
                <w:vertAlign w:val="subscript"/>
              </w:rPr>
              <w:t>pn</w:t>
            </w:r>
            <w:proofErr w:type="spellEnd"/>
            <w:r w:rsidR="00E370D0">
              <w:rPr>
                <w:sz w:val="18"/>
                <w:szCs w:val="18"/>
                <w:vertAlign w:val="subscript"/>
              </w:rPr>
              <w:t xml:space="preserve"> </w:t>
            </w:r>
            <w:r w:rsidR="00E370D0" w:rsidRPr="00AF691D">
              <w:rPr>
                <w:sz w:val="18"/>
                <w:szCs w:val="18"/>
              </w:rPr>
              <w:t>+</w:t>
            </w:r>
            <w:r w:rsidR="00AF691D">
              <w:rPr>
                <w:sz w:val="18"/>
                <w:szCs w:val="18"/>
              </w:rPr>
              <w:t xml:space="preserve"> Uz</w:t>
            </w:r>
            <w:r w:rsidR="00AF691D" w:rsidRPr="00AF691D">
              <w:rPr>
                <w:sz w:val="18"/>
                <w:szCs w:val="18"/>
                <w:vertAlign w:val="subscript"/>
              </w:rPr>
              <w:t xml:space="preserve">npp1 </w:t>
            </w:r>
            <w:r w:rsidR="00AF691D">
              <w:rPr>
                <w:sz w:val="18"/>
                <w:szCs w:val="18"/>
              </w:rPr>
              <w:t>+ Uz</w:t>
            </w:r>
            <w:r w:rsidR="003A7A2A">
              <w:rPr>
                <w:sz w:val="18"/>
                <w:szCs w:val="18"/>
                <w:vertAlign w:val="subscript"/>
              </w:rPr>
              <w:t>npp2</w:t>
            </w:r>
            <w:r w:rsidR="00AF691D">
              <w:rPr>
                <w:sz w:val="18"/>
                <w:szCs w:val="18"/>
              </w:rPr>
              <w:t xml:space="preserve"> + </w:t>
            </w:r>
            <w:r w:rsidR="003A7A2A">
              <w:rPr>
                <w:sz w:val="18"/>
                <w:szCs w:val="18"/>
              </w:rPr>
              <w:t xml:space="preserve">... + </w:t>
            </w:r>
            <w:proofErr w:type="spellStart"/>
            <w:r w:rsidR="00AF691D">
              <w:rPr>
                <w:sz w:val="18"/>
                <w:szCs w:val="18"/>
              </w:rPr>
              <w:t>Uz</w:t>
            </w:r>
            <w:r w:rsidR="00AF691D" w:rsidRPr="00AF691D">
              <w:rPr>
                <w:sz w:val="18"/>
                <w:szCs w:val="18"/>
                <w:vertAlign w:val="subscript"/>
              </w:rPr>
              <w:t>nppn</w:t>
            </w:r>
            <w:proofErr w:type="spellEnd"/>
            <w:r w:rsidR="003A7A2A" w:rsidRPr="003A7A2A">
              <w:rPr>
                <w:sz w:val="18"/>
                <w:szCs w:val="18"/>
              </w:rPr>
              <w:t>)</w:t>
            </w:r>
            <w:r w:rsidR="00AF691D">
              <w:rPr>
                <w:sz w:val="18"/>
                <w:szCs w:val="18"/>
              </w:rPr>
              <w:t xml:space="preserve"> </w:t>
            </w:r>
            <w:r w:rsidR="00AF691D">
              <w:rPr>
                <w:rFonts w:cs="Arial"/>
                <w:sz w:val="18"/>
                <w:szCs w:val="18"/>
              </w:rPr>
              <w:t>·</w:t>
            </w:r>
            <w:r w:rsidR="00AF691D">
              <w:rPr>
                <w:sz w:val="18"/>
                <w:szCs w:val="18"/>
              </w:rPr>
              <w:t xml:space="preserve"> </w:t>
            </w:r>
            <w:proofErr w:type="spellStart"/>
            <w:r w:rsidR="00AF691D">
              <w:rPr>
                <w:sz w:val="18"/>
                <w:szCs w:val="18"/>
              </w:rPr>
              <w:t>Di</w:t>
            </w:r>
            <w:r w:rsidR="00AF691D" w:rsidRPr="00AF691D">
              <w:rPr>
                <w:sz w:val="18"/>
                <w:szCs w:val="18"/>
                <w:vertAlign w:val="subscript"/>
              </w:rPr>
              <w:t>gminy</w:t>
            </w:r>
            <w:proofErr w:type="spellEnd"/>
            <w:r w:rsidR="003A7A2A">
              <w:rPr>
                <w:sz w:val="18"/>
                <w:szCs w:val="18"/>
              </w:rPr>
              <w:t>]</w:t>
            </w:r>
          </w:p>
          <w:p w:rsidR="008F11F9" w:rsidRDefault="005121AE" w:rsidP="00542A52">
            <w:pPr>
              <w:tabs>
                <w:tab w:val="left" w:pos="7885"/>
              </w:tabs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8F11F9">
              <w:rPr>
                <w:sz w:val="18"/>
                <w:szCs w:val="18"/>
              </w:rPr>
              <w:t xml:space="preserve"> wypadku przedszkoli oraz oddziałów przedszkolnych w szkołach subwencja dla dzieci 6 – letnich oraz </w:t>
            </w:r>
            <w:r w:rsidR="00441030">
              <w:rPr>
                <w:sz w:val="18"/>
                <w:szCs w:val="18"/>
              </w:rPr>
              <w:t xml:space="preserve">dla </w:t>
            </w:r>
            <w:r w:rsidR="008F11F9">
              <w:rPr>
                <w:sz w:val="18"/>
                <w:szCs w:val="18"/>
              </w:rPr>
              <w:t xml:space="preserve">dzieci niepełnosprawnych </w:t>
            </w:r>
            <w:r w:rsidR="00441030">
              <w:rPr>
                <w:sz w:val="18"/>
                <w:szCs w:val="18"/>
              </w:rPr>
              <w:t xml:space="preserve">obliczana jest w części SOC subwencji (zadania pozaszkolne). W każdym z tych wypadków, w wyliczeniu należy stosować wskaźnik Di </w:t>
            </w:r>
            <w:r w:rsidR="00441030" w:rsidRPr="00A10567">
              <w:rPr>
                <w:sz w:val="18"/>
                <w:szCs w:val="18"/>
                <w:vertAlign w:val="subscript"/>
              </w:rPr>
              <w:t>gminy</w:t>
            </w:r>
            <w:r w:rsidR="00441030">
              <w:rPr>
                <w:sz w:val="18"/>
                <w:szCs w:val="18"/>
              </w:rPr>
              <w:t xml:space="preserve"> oraz standard „A </w:t>
            </w:r>
            <w:r w:rsidR="00441030" w:rsidRPr="00A10567">
              <w:rPr>
                <w:sz w:val="18"/>
                <w:szCs w:val="18"/>
                <w:vertAlign w:val="subscript"/>
              </w:rPr>
              <w:t>gminy</w:t>
            </w:r>
            <w:r w:rsidR="00441030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 (skorygowany standard „A”)</w:t>
            </w:r>
            <w:r w:rsidR="00441030">
              <w:rPr>
                <w:sz w:val="18"/>
                <w:szCs w:val="18"/>
              </w:rPr>
              <w:t>.</w:t>
            </w:r>
            <w:r w:rsidR="00B352AC">
              <w:rPr>
                <w:sz w:val="18"/>
                <w:szCs w:val="18"/>
              </w:rPr>
              <w:t xml:space="preserve"> </w:t>
            </w:r>
          </w:p>
          <w:p w:rsidR="00441030" w:rsidRDefault="00441030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Sporządzone „raz” wyliczenie, korygowane adekwatnie do zmian algorytmu pozwala</w:t>
            </w:r>
            <w:r w:rsidR="005121AE">
              <w:rPr>
                <w:sz w:val="18"/>
                <w:szCs w:val="18"/>
              </w:rPr>
              <w:t>ło</w:t>
            </w:r>
            <w:r>
              <w:rPr>
                <w:sz w:val="18"/>
                <w:szCs w:val="18"/>
              </w:rPr>
              <w:t xml:space="preserve"> </w:t>
            </w:r>
            <w:r w:rsidR="00B352AC">
              <w:rPr>
                <w:sz w:val="18"/>
                <w:szCs w:val="18"/>
              </w:rPr>
              <w:t xml:space="preserve">nam </w:t>
            </w:r>
            <w:r>
              <w:rPr>
                <w:sz w:val="18"/>
                <w:szCs w:val="18"/>
              </w:rPr>
              <w:t xml:space="preserve">na korzystanie z niego przez wiele lat. Czas dokonania podziału subwencji </w:t>
            </w:r>
            <w:r w:rsidR="005121AE">
              <w:rPr>
                <w:sz w:val="18"/>
                <w:szCs w:val="18"/>
              </w:rPr>
              <w:t>bardzo skrócił</w:t>
            </w:r>
            <w:r>
              <w:rPr>
                <w:sz w:val="18"/>
                <w:szCs w:val="18"/>
              </w:rPr>
              <w:t xml:space="preserve"> się. Wystarczy</w:t>
            </w:r>
            <w:r w:rsidR="005121AE">
              <w:rPr>
                <w:sz w:val="18"/>
                <w:szCs w:val="18"/>
              </w:rPr>
              <w:t>ło</w:t>
            </w:r>
            <w:r>
              <w:rPr>
                <w:sz w:val="18"/>
                <w:szCs w:val="18"/>
              </w:rPr>
              <w:t xml:space="preserve"> </w:t>
            </w:r>
            <w:r w:rsidR="00B352AC">
              <w:rPr>
                <w:sz w:val="18"/>
                <w:szCs w:val="18"/>
              </w:rPr>
              <w:t xml:space="preserve">wprowadzić nowe lub usunąć „stare wagi”, </w:t>
            </w:r>
            <w:r w:rsidR="00EE27E3">
              <w:rPr>
                <w:sz w:val="18"/>
                <w:szCs w:val="18"/>
              </w:rPr>
              <w:t xml:space="preserve">dokonać ich aktualizacji, </w:t>
            </w:r>
            <w:r>
              <w:rPr>
                <w:sz w:val="18"/>
                <w:szCs w:val="18"/>
              </w:rPr>
              <w:t>wpisać aktualne liczby uczniów i dzieci, zaktualizować dane dot. n-</w:t>
            </w:r>
            <w:r w:rsidR="00DA64D2">
              <w:rPr>
                <w:sz w:val="18"/>
                <w:szCs w:val="18"/>
              </w:rPr>
              <w:t>li oraz</w:t>
            </w:r>
            <w:r>
              <w:rPr>
                <w:sz w:val="18"/>
                <w:szCs w:val="18"/>
              </w:rPr>
              <w:t xml:space="preserve"> wpisać standard „A” wyliczony w MEN.</w:t>
            </w:r>
          </w:p>
          <w:p w:rsidR="00441030" w:rsidRDefault="0067760B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441030">
              <w:rPr>
                <w:sz w:val="18"/>
                <w:szCs w:val="18"/>
              </w:rPr>
              <w:t xml:space="preserve">ak sporządzone wyliczenie pozwala na przewidywanie </w:t>
            </w:r>
            <w:r w:rsidR="00BF6114">
              <w:rPr>
                <w:sz w:val="18"/>
                <w:szCs w:val="18"/>
              </w:rPr>
              <w:t xml:space="preserve">dla każdej ze szkół: </w:t>
            </w:r>
            <w:r w:rsidR="00441030">
              <w:rPr>
                <w:sz w:val="18"/>
                <w:szCs w:val="18"/>
              </w:rPr>
              <w:t>subwencji wstępnej</w:t>
            </w:r>
            <w:r>
              <w:rPr>
                <w:sz w:val="18"/>
                <w:szCs w:val="18"/>
              </w:rPr>
              <w:t xml:space="preserve">, </w:t>
            </w:r>
            <w:r w:rsidR="00BF6114">
              <w:rPr>
                <w:sz w:val="18"/>
                <w:szCs w:val="18"/>
              </w:rPr>
              <w:t xml:space="preserve">precyzyjny </w:t>
            </w:r>
            <w:r w:rsidR="00313CDB">
              <w:rPr>
                <w:sz w:val="18"/>
                <w:szCs w:val="18"/>
              </w:rPr>
              <w:t xml:space="preserve">podział przyznanej subwencji wstępnej, </w:t>
            </w:r>
            <w:r>
              <w:rPr>
                <w:sz w:val="18"/>
                <w:szCs w:val="18"/>
              </w:rPr>
              <w:t>szacowan</w:t>
            </w:r>
            <w:r w:rsidR="00313CDB">
              <w:rPr>
                <w:sz w:val="18"/>
                <w:szCs w:val="18"/>
              </w:rPr>
              <w:t>ie</w:t>
            </w:r>
            <w:r w:rsidR="00DA64D2">
              <w:rPr>
                <w:sz w:val="18"/>
                <w:szCs w:val="18"/>
              </w:rPr>
              <w:t>,</w:t>
            </w:r>
            <w:r w:rsidR="00313CDB">
              <w:rPr>
                <w:sz w:val="18"/>
                <w:szCs w:val="18"/>
              </w:rPr>
              <w:t xml:space="preserve"> w jakiej wysokości otrzymamy </w:t>
            </w:r>
            <w:r>
              <w:rPr>
                <w:sz w:val="18"/>
                <w:szCs w:val="18"/>
              </w:rPr>
              <w:t>subwencję ostateczną. To bardzo w</w:t>
            </w:r>
            <w:r w:rsidR="00EE27E3">
              <w:rPr>
                <w:sz w:val="18"/>
                <w:szCs w:val="18"/>
              </w:rPr>
              <w:t xml:space="preserve">ażne, w sytuacji gdy </w:t>
            </w:r>
            <w:r>
              <w:rPr>
                <w:sz w:val="18"/>
                <w:szCs w:val="18"/>
              </w:rPr>
              <w:t xml:space="preserve">ta </w:t>
            </w:r>
            <w:r w:rsidR="00B352AC">
              <w:rPr>
                <w:sz w:val="18"/>
                <w:szCs w:val="18"/>
              </w:rPr>
              <w:t xml:space="preserve">ostatnia informacja </w:t>
            </w:r>
            <w:r>
              <w:rPr>
                <w:sz w:val="18"/>
                <w:szCs w:val="18"/>
              </w:rPr>
              <w:t>dociera do nas w trakcie roku budżetowego (luty, marzec).</w:t>
            </w:r>
            <w:r w:rsidR="005121AE">
              <w:rPr>
                <w:sz w:val="18"/>
                <w:szCs w:val="18"/>
              </w:rPr>
              <w:t xml:space="preserve"> Pozwalało to </w:t>
            </w:r>
            <w:r w:rsidR="00313CDB">
              <w:rPr>
                <w:sz w:val="18"/>
                <w:szCs w:val="18"/>
              </w:rPr>
              <w:t xml:space="preserve">nam niejednokrotnie </w:t>
            </w:r>
            <w:r w:rsidR="005121AE">
              <w:rPr>
                <w:sz w:val="18"/>
                <w:szCs w:val="18"/>
              </w:rPr>
              <w:t xml:space="preserve">na uniknięcie </w:t>
            </w:r>
            <w:r w:rsidR="00BF6114">
              <w:rPr>
                <w:sz w:val="18"/>
                <w:szCs w:val="18"/>
              </w:rPr>
              <w:t xml:space="preserve">trudnej </w:t>
            </w:r>
            <w:r w:rsidR="005121AE">
              <w:rPr>
                <w:sz w:val="18"/>
                <w:szCs w:val="18"/>
              </w:rPr>
              <w:t>konieczności szukania oszczędności w już zatwierdzonych budżetach.</w:t>
            </w:r>
          </w:p>
          <w:p w:rsidR="005121AE" w:rsidRDefault="005121AE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Wyliczoną dla szkoły subwencję wystarczy </w:t>
            </w:r>
            <w:r w:rsidR="00DA64D2">
              <w:rPr>
                <w:sz w:val="18"/>
                <w:szCs w:val="18"/>
              </w:rPr>
              <w:t>zestawić z jej budżetem. Od razu</w:t>
            </w:r>
            <w:r>
              <w:rPr>
                <w:sz w:val="18"/>
                <w:szCs w:val="18"/>
              </w:rPr>
              <w:t xml:space="preserve"> widzimy czy szkole, gdyby była finansowana wyłącznie przez MEN (MF)</w:t>
            </w:r>
            <w:r w:rsidR="00DA64D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wystarczyłoby środków.</w:t>
            </w:r>
          </w:p>
          <w:p w:rsidR="00B352AC" w:rsidRPr="000A662C" w:rsidRDefault="005121AE" w:rsidP="00542A5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 pracach nad projektem budżetu porównujemy w ten sposób su</w:t>
            </w:r>
            <w:r w:rsidR="00FC199C">
              <w:rPr>
                <w:sz w:val="18"/>
                <w:szCs w:val="18"/>
              </w:rPr>
              <w:t xml:space="preserve">bwencję wstępną </w:t>
            </w:r>
            <w:r w:rsidR="00313CDB">
              <w:rPr>
                <w:sz w:val="18"/>
                <w:szCs w:val="18"/>
              </w:rPr>
              <w:t xml:space="preserve">wyliczoną </w:t>
            </w:r>
            <w:r w:rsidR="00FC199C">
              <w:rPr>
                <w:sz w:val="18"/>
                <w:szCs w:val="18"/>
              </w:rPr>
              <w:t xml:space="preserve">dla szkoły z projektowanym </w:t>
            </w:r>
            <w:r w:rsidR="00313CDB">
              <w:rPr>
                <w:sz w:val="18"/>
                <w:szCs w:val="18"/>
              </w:rPr>
              <w:t xml:space="preserve">przez dyrektora </w:t>
            </w:r>
            <w:r w:rsidR="00FC199C">
              <w:rPr>
                <w:sz w:val="18"/>
                <w:szCs w:val="18"/>
              </w:rPr>
              <w:t xml:space="preserve">budżetem. Informację taką </w:t>
            </w:r>
            <w:r w:rsidR="00313CDB">
              <w:rPr>
                <w:sz w:val="18"/>
                <w:szCs w:val="18"/>
              </w:rPr>
              <w:t xml:space="preserve">otrzymuje każdy dyrektor </w:t>
            </w:r>
            <w:r w:rsidR="00B352AC">
              <w:rPr>
                <w:sz w:val="18"/>
                <w:szCs w:val="18"/>
              </w:rPr>
              <w:t xml:space="preserve">na naradzie </w:t>
            </w:r>
            <w:r w:rsidR="00BF6114">
              <w:rPr>
                <w:sz w:val="18"/>
                <w:szCs w:val="18"/>
              </w:rPr>
              <w:t xml:space="preserve">już </w:t>
            </w:r>
            <w:r w:rsidR="00FC199C">
              <w:rPr>
                <w:sz w:val="18"/>
                <w:szCs w:val="18"/>
              </w:rPr>
              <w:t xml:space="preserve">ok. </w:t>
            </w:r>
            <w:r w:rsidR="00313CDB">
              <w:rPr>
                <w:sz w:val="18"/>
                <w:szCs w:val="18"/>
              </w:rPr>
              <w:t>20 października</w:t>
            </w:r>
            <w:r w:rsidR="006C0FAA">
              <w:rPr>
                <w:sz w:val="18"/>
                <w:szCs w:val="18"/>
              </w:rPr>
              <w:t xml:space="preserve"> danego roku</w:t>
            </w:r>
            <w:r w:rsidR="00313CDB">
              <w:rPr>
                <w:sz w:val="18"/>
                <w:szCs w:val="18"/>
              </w:rPr>
              <w:t xml:space="preserve">. Do tego </w:t>
            </w:r>
            <w:r w:rsidR="00BF6114">
              <w:rPr>
                <w:sz w:val="18"/>
                <w:szCs w:val="18"/>
              </w:rPr>
              <w:t xml:space="preserve">często </w:t>
            </w:r>
            <w:r w:rsidR="00313CDB">
              <w:rPr>
                <w:sz w:val="18"/>
                <w:szCs w:val="18"/>
              </w:rPr>
              <w:t>dołączamy szacowaną dla szkoły subwencję ostateczną. Jeżeli szkoła nie mieści się w subwencji</w:t>
            </w:r>
            <w:r w:rsidR="00DA64D2">
              <w:rPr>
                <w:sz w:val="18"/>
                <w:szCs w:val="18"/>
              </w:rPr>
              <w:t>,</w:t>
            </w:r>
            <w:r w:rsidR="00313CDB">
              <w:rPr>
                <w:sz w:val="18"/>
                <w:szCs w:val="18"/>
              </w:rPr>
              <w:t xml:space="preserve"> oczekujemy od dyrektora propozycji ograniczeń wydatków. Gdy to nie wystarcza, wsparcia </w:t>
            </w:r>
            <w:r w:rsidR="00BF6114">
              <w:rPr>
                <w:sz w:val="18"/>
                <w:szCs w:val="18"/>
              </w:rPr>
              <w:t xml:space="preserve">(z nadwyżki subwencji nad budżetem) udzielają zamożniejsze </w:t>
            </w:r>
            <w:r w:rsidR="00DA64D2">
              <w:rPr>
                <w:sz w:val="18"/>
                <w:szCs w:val="18"/>
              </w:rPr>
              <w:t>szkoły. W skrajnym wypadku</w:t>
            </w:r>
            <w:r w:rsidR="00313CDB">
              <w:rPr>
                <w:sz w:val="18"/>
                <w:szCs w:val="18"/>
              </w:rPr>
              <w:t xml:space="preserve"> </w:t>
            </w:r>
            <w:r w:rsidR="00BF6114">
              <w:rPr>
                <w:sz w:val="18"/>
                <w:szCs w:val="18"/>
              </w:rPr>
              <w:t>zwracamy się do Burmistrza i Skarbnika o pomoc gminy. Jak dotąd</w:t>
            </w:r>
            <w:r w:rsidR="00DA64D2">
              <w:rPr>
                <w:sz w:val="18"/>
                <w:szCs w:val="18"/>
              </w:rPr>
              <w:t>,</w:t>
            </w:r>
            <w:r w:rsidR="00BF6114">
              <w:rPr>
                <w:sz w:val="18"/>
                <w:szCs w:val="18"/>
              </w:rPr>
              <w:t xml:space="preserve"> stało się tak </w:t>
            </w:r>
            <w:r w:rsidR="00DA64D2">
              <w:rPr>
                <w:sz w:val="18"/>
                <w:szCs w:val="18"/>
              </w:rPr>
              <w:t>tylko jeden raz (w bieżącym roku)</w:t>
            </w:r>
            <w:bookmarkStart w:id="0" w:name="_GoBack"/>
            <w:bookmarkEnd w:id="0"/>
            <w:r w:rsidR="00DA64D2">
              <w:rPr>
                <w:sz w:val="18"/>
                <w:szCs w:val="18"/>
              </w:rPr>
              <w:t>.</w:t>
            </w:r>
          </w:p>
        </w:tc>
      </w:tr>
      <w:tr w:rsidR="00F62EAB" w:rsidRPr="003F51DA" w:rsidTr="009C6869">
        <w:trPr>
          <w:trHeight w:val="1701"/>
        </w:trPr>
        <w:tc>
          <w:tcPr>
            <w:tcW w:w="1565" w:type="dxa"/>
            <w:gridSpan w:val="2"/>
            <w:shd w:val="clear" w:color="auto" w:fill="EAF1DD" w:themeFill="accent3" w:themeFillTint="33"/>
          </w:tcPr>
          <w:p w:rsidR="00F62EAB" w:rsidRPr="007E5C6E" w:rsidRDefault="003D4474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2.5</w:t>
            </w:r>
            <w:r w:rsidR="00F62EAB" w:rsidRPr="007E5C6E">
              <w:rPr>
                <w:sz w:val="18"/>
                <w:szCs w:val="18"/>
              </w:rPr>
              <w:t xml:space="preserve"> Z jakim skutkiem?</w:t>
            </w:r>
          </w:p>
          <w:p w:rsidR="00F62EAB" w:rsidRDefault="00F62EAB" w:rsidP="00F71B02">
            <w:pPr>
              <w:suppressAutoHyphens/>
              <w:spacing w:before="60" w:after="60"/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</w:pP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(Jakie efekty osiągnięto?)</w:t>
            </w:r>
          </w:p>
          <w:p w:rsidR="00F62EAB" w:rsidRDefault="00F62EAB" w:rsidP="00F71B02">
            <w:pPr>
              <w:suppressAutoHyphens/>
              <w:spacing w:before="60" w:after="60"/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</w:pPr>
          </w:p>
          <w:p w:rsidR="00F62EAB" w:rsidRPr="007E5C6E" w:rsidRDefault="00F62EAB" w:rsidP="00F71B02">
            <w:pPr>
              <w:suppressAutoHyphens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336" w:type="dxa"/>
            <w:gridSpan w:val="6"/>
            <w:shd w:val="clear" w:color="auto" w:fill="auto"/>
          </w:tcPr>
          <w:p w:rsidR="00456851" w:rsidRDefault="00456851" w:rsidP="00FF320D">
            <w:pPr>
              <w:pStyle w:val="Akapitzlist"/>
              <w:numPr>
                <w:ilvl w:val="0"/>
                <w:numId w:val="24"/>
              </w:numPr>
              <w:jc w:val="both"/>
              <w:rPr>
                <w:sz w:val="18"/>
                <w:szCs w:val="18"/>
              </w:rPr>
            </w:pPr>
            <w:r w:rsidRPr="00456851">
              <w:rPr>
                <w:sz w:val="18"/>
                <w:szCs w:val="18"/>
              </w:rPr>
              <w:t>Przedszkola i oddziały przedszkolne w szkołach</w:t>
            </w:r>
          </w:p>
          <w:p w:rsidR="0058353F" w:rsidRDefault="00143F53" w:rsidP="00FF32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przedszkolach </w:t>
            </w:r>
            <w:r w:rsidR="002F59B8">
              <w:rPr>
                <w:sz w:val="18"/>
                <w:szCs w:val="18"/>
              </w:rPr>
              <w:t xml:space="preserve">po wdrożeniu zmiany </w:t>
            </w:r>
            <w:r w:rsidR="0058353F">
              <w:rPr>
                <w:sz w:val="18"/>
                <w:szCs w:val="18"/>
              </w:rPr>
              <w:t>z</w:t>
            </w:r>
            <w:r w:rsidR="00B73408" w:rsidRPr="00456851">
              <w:rPr>
                <w:sz w:val="18"/>
                <w:szCs w:val="18"/>
              </w:rPr>
              <w:t xml:space="preserve">nacznej poprawie </w:t>
            </w:r>
            <w:r>
              <w:rPr>
                <w:sz w:val="18"/>
                <w:szCs w:val="18"/>
              </w:rPr>
              <w:t xml:space="preserve">uległa ich </w:t>
            </w:r>
            <w:r w:rsidR="0058353F">
              <w:rPr>
                <w:sz w:val="18"/>
                <w:szCs w:val="18"/>
              </w:rPr>
              <w:t xml:space="preserve">organizacja: </w:t>
            </w:r>
            <w:r w:rsidR="001245C7">
              <w:rPr>
                <w:sz w:val="18"/>
                <w:szCs w:val="18"/>
              </w:rPr>
              <w:t xml:space="preserve">oddziały wypełniły się, ich czas funkcjonowania skrócił się </w:t>
            </w:r>
            <w:r w:rsidR="00310FC5">
              <w:rPr>
                <w:sz w:val="18"/>
                <w:szCs w:val="18"/>
              </w:rPr>
              <w:t xml:space="preserve">z 10 </w:t>
            </w:r>
            <w:r w:rsidR="00EE27E3">
              <w:rPr>
                <w:sz w:val="18"/>
                <w:szCs w:val="18"/>
              </w:rPr>
              <w:t>do 7</w:t>
            </w:r>
            <w:r w:rsidR="001245C7">
              <w:rPr>
                <w:sz w:val="18"/>
                <w:szCs w:val="18"/>
              </w:rPr>
              <w:t xml:space="preserve"> – 9 godzin, zapewniając jednocześnie opiekę dzieciom korzystającym z przedszkola w różnych porach dnia</w:t>
            </w:r>
            <w:r w:rsidR="00CA0279">
              <w:rPr>
                <w:sz w:val="18"/>
                <w:szCs w:val="18"/>
              </w:rPr>
              <w:t xml:space="preserve"> (</w:t>
            </w:r>
            <w:r w:rsidR="000C166C">
              <w:rPr>
                <w:sz w:val="18"/>
                <w:szCs w:val="18"/>
              </w:rPr>
              <w:t xml:space="preserve">przecież </w:t>
            </w:r>
            <w:r w:rsidR="00CA0279">
              <w:rPr>
                <w:sz w:val="18"/>
                <w:szCs w:val="18"/>
              </w:rPr>
              <w:t>nie wszystkie oddziały muszą być czynne o 6 rano)</w:t>
            </w:r>
            <w:r w:rsidR="001245C7">
              <w:rPr>
                <w:sz w:val="18"/>
                <w:szCs w:val="18"/>
              </w:rPr>
              <w:t xml:space="preserve">. Liczba pracowników obsługi zmniejszyła się. </w:t>
            </w:r>
            <w:r>
              <w:rPr>
                <w:sz w:val="18"/>
                <w:szCs w:val="18"/>
              </w:rPr>
              <w:t>Zgodnie z oczekiwaniem budżety placówek zyskały na stabilności, p</w:t>
            </w:r>
            <w:r w:rsidRPr="00456851">
              <w:rPr>
                <w:sz w:val="18"/>
                <w:szCs w:val="18"/>
              </w:rPr>
              <w:t>ojawiło się planowanie strat</w:t>
            </w:r>
            <w:r>
              <w:rPr>
                <w:sz w:val="18"/>
                <w:szCs w:val="18"/>
              </w:rPr>
              <w:t>egiczne.</w:t>
            </w:r>
            <w:r w:rsidRPr="00456851">
              <w:rPr>
                <w:sz w:val="18"/>
                <w:szCs w:val="18"/>
              </w:rPr>
              <w:t xml:space="preserve"> </w:t>
            </w:r>
            <w:r w:rsidR="00CA0279">
              <w:rPr>
                <w:sz w:val="18"/>
                <w:szCs w:val="18"/>
              </w:rPr>
              <w:t>Dyrektorzy uzyskali</w:t>
            </w:r>
            <w:r w:rsidR="00B73408" w:rsidRPr="00456851">
              <w:rPr>
                <w:sz w:val="18"/>
                <w:szCs w:val="18"/>
              </w:rPr>
              <w:t xml:space="preserve"> </w:t>
            </w:r>
            <w:r w:rsidR="001245C7">
              <w:rPr>
                <w:sz w:val="18"/>
                <w:szCs w:val="18"/>
              </w:rPr>
              <w:t xml:space="preserve">znaczną </w:t>
            </w:r>
            <w:r w:rsidR="00B73408" w:rsidRPr="00456851">
              <w:rPr>
                <w:sz w:val="18"/>
                <w:szCs w:val="18"/>
              </w:rPr>
              <w:t>autonomię w projektowaniu wydatków i realizacji budżetu. P</w:t>
            </w:r>
            <w:r w:rsidR="000C4291">
              <w:rPr>
                <w:sz w:val="18"/>
                <w:szCs w:val="18"/>
              </w:rPr>
              <w:t xml:space="preserve">rzedszkola </w:t>
            </w:r>
            <w:r w:rsidR="00E90E18">
              <w:rPr>
                <w:sz w:val="18"/>
                <w:szCs w:val="18"/>
              </w:rPr>
              <w:t xml:space="preserve">bardzo </w:t>
            </w:r>
            <w:r w:rsidR="000C4291">
              <w:rPr>
                <w:sz w:val="18"/>
                <w:szCs w:val="18"/>
              </w:rPr>
              <w:t>wypiękniały</w:t>
            </w:r>
            <w:r w:rsidR="001245C7">
              <w:rPr>
                <w:sz w:val="18"/>
                <w:szCs w:val="18"/>
              </w:rPr>
              <w:t xml:space="preserve">. </w:t>
            </w:r>
            <w:r w:rsidR="00E90E18">
              <w:rPr>
                <w:sz w:val="18"/>
                <w:szCs w:val="18"/>
              </w:rPr>
              <w:t xml:space="preserve">Dyrektorki </w:t>
            </w:r>
            <w:r w:rsidR="00832AB4">
              <w:rPr>
                <w:sz w:val="18"/>
                <w:szCs w:val="18"/>
              </w:rPr>
              <w:t xml:space="preserve">przedszkoli </w:t>
            </w:r>
            <w:r w:rsidR="00E90E18">
              <w:rPr>
                <w:sz w:val="18"/>
                <w:szCs w:val="18"/>
              </w:rPr>
              <w:t>do</w:t>
            </w:r>
            <w:r w:rsidR="00B352AC">
              <w:rPr>
                <w:sz w:val="18"/>
                <w:szCs w:val="18"/>
              </w:rPr>
              <w:t xml:space="preserve">konały </w:t>
            </w:r>
            <w:r w:rsidR="00832AB4">
              <w:rPr>
                <w:sz w:val="18"/>
                <w:szCs w:val="18"/>
              </w:rPr>
              <w:t>(</w:t>
            </w:r>
            <w:r w:rsidR="00EE27E3">
              <w:rPr>
                <w:sz w:val="18"/>
                <w:szCs w:val="18"/>
              </w:rPr>
              <w:t xml:space="preserve">z </w:t>
            </w:r>
            <w:r w:rsidR="00B352AC">
              <w:rPr>
                <w:sz w:val="18"/>
                <w:szCs w:val="18"/>
              </w:rPr>
              <w:t>budżetów</w:t>
            </w:r>
            <w:r w:rsidR="00EE27E3">
              <w:rPr>
                <w:sz w:val="18"/>
                <w:szCs w:val="18"/>
              </w:rPr>
              <w:t xml:space="preserve"> placówek</w:t>
            </w:r>
            <w:r w:rsidR="00832AB4">
              <w:rPr>
                <w:sz w:val="18"/>
                <w:szCs w:val="18"/>
              </w:rPr>
              <w:t>)</w:t>
            </w:r>
            <w:r w:rsidR="00B352AC">
              <w:rPr>
                <w:sz w:val="18"/>
                <w:szCs w:val="18"/>
              </w:rPr>
              <w:t xml:space="preserve"> </w:t>
            </w:r>
            <w:r w:rsidR="00E90E18">
              <w:rPr>
                <w:sz w:val="18"/>
                <w:szCs w:val="18"/>
              </w:rPr>
              <w:t>ich pełnej termomodernizacji, w</w:t>
            </w:r>
            <w:r w:rsidR="00832AB4">
              <w:rPr>
                <w:sz w:val="18"/>
                <w:szCs w:val="18"/>
              </w:rPr>
              <w:t>yremontowały od podstaw,</w:t>
            </w:r>
            <w:r w:rsidR="00E90E18">
              <w:rPr>
                <w:sz w:val="18"/>
                <w:szCs w:val="18"/>
              </w:rPr>
              <w:t xml:space="preserve"> </w:t>
            </w:r>
            <w:r w:rsidR="00B352AC">
              <w:rPr>
                <w:sz w:val="18"/>
                <w:szCs w:val="18"/>
              </w:rPr>
              <w:t xml:space="preserve">w całości </w:t>
            </w:r>
            <w:r w:rsidR="00E90E18">
              <w:rPr>
                <w:sz w:val="18"/>
                <w:szCs w:val="18"/>
              </w:rPr>
              <w:t xml:space="preserve">wyposażyły. </w:t>
            </w:r>
            <w:r w:rsidR="001245C7">
              <w:rPr>
                <w:sz w:val="18"/>
                <w:szCs w:val="18"/>
              </w:rPr>
              <w:t>W ciągu kilkunastu lat n</w:t>
            </w:r>
            <w:r w:rsidR="00B73408" w:rsidRPr="00456851">
              <w:rPr>
                <w:sz w:val="18"/>
                <w:szCs w:val="18"/>
              </w:rPr>
              <w:t xml:space="preserve">ie mieliśmy </w:t>
            </w:r>
            <w:r w:rsidR="001245C7">
              <w:rPr>
                <w:sz w:val="18"/>
                <w:szCs w:val="18"/>
              </w:rPr>
              <w:t xml:space="preserve">żadnych </w:t>
            </w:r>
            <w:r w:rsidR="00832AB4">
              <w:rPr>
                <w:sz w:val="18"/>
                <w:szCs w:val="18"/>
              </w:rPr>
              <w:t>problemów z finansowaniem lub organizacją przedszkoli.</w:t>
            </w:r>
          </w:p>
          <w:p w:rsidR="00456851" w:rsidRPr="00456851" w:rsidRDefault="00310FC5" w:rsidP="00456851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oddziałach przedszkolnych z</w:t>
            </w:r>
            <w:r w:rsidR="001245C7">
              <w:rPr>
                <w:sz w:val="18"/>
                <w:szCs w:val="18"/>
              </w:rPr>
              <w:t xml:space="preserve">miana ta była </w:t>
            </w:r>
            <w:r w:rsidR="0058353F">
              <w:rPr>
                <w:sz w:val="18"/>
                <w:szCs w:val="18"/>
              </w:rPr>
              <w:t xml:space="preserve">przez dyrektorów </w:t>
            </w:r>
            <w:r w:rsidR="00143F53">
              <w:rPr>
                <w:sz w:val="18"/>
                <w:szCs w:val="18"/>
              </w:rPr>
              <w:t xml:space="preserve">szkół </w:t>
            </w:r>
            <w:r w:rsidR="0058353F">
              <w:rPr>
                <w:sz w:val="18"/>
                <w:szCs w:val="18"/>
              </w:rPr>
              <w:t xml:space="preserve">wręcz oczekiwana. </w:t>
            </w:r>
            <w:r w:rsidR="00CA0279">
              <w:rPr>
                <w:sz w:val="18"/>
                <w:szCs w:val="18"/>
              </w:rPr>
              <w:t>Zwracano</w:t>
            </w:r>
            <w:r w:rsidR="00832AB4">
              <w:rPr>
                <w:sz w:val="18"/>
                <w:szCs w:val="18"/>
              </w:rPr>
              <w:t xml:space="preserve"> uwagę, że oddziały te</w:t>
            </w:r>
            <w:r w:rsidR="00CA0279">
              <w:rPr>
                <w:sz w:val="18"/>
                <w:szCs w:val="18"/>
              </w:rPr>
              <w:t xml:space="preserve"> funkcjonują kosztem szkół (wydatki rzeczowe). </w:t>
            </w:r>
            <w:r w:rsidR="0058353F">
              <w:rPr>
                <w:sz w:val="18"/>
                <w:szCs w:val="18"/>
              </w:rPr>
              <w:t>F</w:t>
            </w:r>
            <w:r w:rsidR="006A3FC2">
              <w:rPr>
                <w:sz w:val="18"/>
                <w:szCs w:val="18"/>
              </w:rPr>
              <w:t xml:space="preserve">inansowanie wszystkich wydatków </w:t>
            </w:r>
            <w:r w:rsidR="001245C7">
              <w:rPr>
                <w:sz w:val="18"/>
                <w:szCs w:val="18"/>
              </w:rPr>
              <w:t xml:space="preserve">oddziału </w:t>
            </w:r>
            <w:r w:rsidR="006A3FC2">
              <w:rPr>
                <w:sz w:val="18"/>
                <w:szCs w:val="18"/>
              </w:rPr>
              <w:t xml:space="preserve">przedszkolnego </w:t>
            </w:r>
            <w:r>
              <w:rPr>
                <w:sz w:val="18"/>
                <w:szCs w:val="18"/>
              </w:rPr>
              <w:t>w ramach odrębnie</w:t>
            </w:r>
            <w:r w:rsidR="00B352AC">
              <w:rPr>
                <w:sz w:val="18"/>
                <w:szCs w:val="18"/>
              </w:rPr>
              <w:t>, czytelnie</w:t>
            </w:r>
            <w:r w:rsidR="001245C7">
              <w:rPr>
                <w:sz w:val="18"/>
                <w:szCs w:val="18"/>
              </w:rPr>
              <w:t xml:space="preserve"> </w:t>
            </w:r>
            <w:r w:rsidR="00CA0279">
              <w:rPr>
                <w:sz w:val="18"/>
                <w:szCs w:val="18"/>
              </w:rPr>
              <w:t>naliczanego</w:t>
            </w:r>
            <w:r w:rsidR="006A3FC2">
              <w:rPr>
                <w:sz w:val="18"/>
                <w:szCs w:val="18"/>
              </w:rPr>
              <w:t xml:space="preserve"> </w:t>
            </w:r>
            <w:r w:rsidR="001245C7">
              <w:rPr>
                <w:sz w:val="18"/>
                <w:szCs w:val="18"/>
              </w:rPr>
              <w:t xml:space="preserve">budżetu było krokiem w </w:t>
            </w:r>
            <w:r>
              <w:rPr>
                <w:sz w:val="18"/>
                <w:szCs w:val="18"/>
              </w:rPr>
              <w:t xml:space="preserve">kierunku </w:t>
            </w:r>
            <w:r w:rsidR="001245C7">
              <w:rPr>
                <w:sz w:val="18"/>
                <w:szCs w:val="18"/>
              </w:rPr>
              <w:t>racjona</w:t>
            </w:r>
            <w:r w:rsidR="00B352AC">
              <w:rPr>
                <w:sz w:val="18"/>
                <w:szCs w:val="18"/>
              </w:rPr>
              <w:t xml:space="preserve">lizacji wydatków (wydatki globalne </w:t>
            </w:r>
            <w:r w:rsidR="006A3FC2">
              <w:rPr>
                <w:sz w:val="18"/>
                <w:szCs w:val="18"/>
              </w:rPr>
              <w:t>nie wzrosły</w:t>
            </w:r>
            <w:r w:rsidR="00B352AC">
              <w:rPr>
                <w:sz w:val="18"/>
                <w:szCs w:val="18"/>
              </w:rPr>
              <w:t>)</w:t>
            </w:r>
            <w:r w:rsidR="006A3FC2">
              <w:rPr>
                <w:sz w:val="18"/>
                <w:szCs w:val="18"/>
              </w:rPr>
              <w:t xml:space="preserve">. </w:t>
            </w:r>
            <w:r w:rsidR="00832AB4">
              <w:rPr>
                <w:sz w:val="18"/>
                <w:szCs w:val="18"/>
              </w:rPr>
              <w:t xml:space="preserve">W dobie upowszechniania edukacji przedszkolnej to bardzo ważne. </w:t>
            </w:r>
            <w:r w:rsidR="00CA0279">
              <w:rPr>
                <w:sz w:val="18"/>
                <w:szCs w:val="18"/>
              </w:rPr>
              <w:t xml:space="preserve">Oddziały </w:t>
            </w:r>
            <w:r w:rsidR="00B352AC">
              <w:rPr>
                <w:sz w:val="18"/>
                <w:szCs w:val="18"/>
              </w:rPr>
              <w:t>przedszkolne mają obecnie b.</w:t>
            </w:r>
            <w:r w:rsidR="00CA0279">
              <w:rPr>
                <w:sz w:val="18"/>
                <w:szCs w:val="18"/>
              </w:rPr>
              <w:t xml:space="preserve"> dobre wyposażenie (w każdym jest np. tab</w:t>
            </w:r>
            <w:r w:rsidR="00B352AC">
              <w:rPr>
                <w:sz w:val="18"/>
                <w:szCs w:val="18"/>
              </w:rPr>
              <w:t>lica interaktywna), są schludne i</w:t>
            </w:r>
            <w:r w:rsidR="00CA0279">
              <w:rPr>
                <w:sz w:val="18"/>
                <w:szCs w:val="18"/>
              </w:rPr>
              <w:t xml:space="preserve"> estetyczne.</w:t>
            </w:r>
          </w:p>
          <w:p w:rsidR="00554808" w:rsidRDefault="00554808" w:rsidP="00456851">
            <w:pPr>
              <w:pStyle w:val="Akapitzlist"/>
              <w:numPr>
                <w:ilvl w:val="0"/>
                <w:numId w:val="24"/>
              </w:num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Szkoły</w:t>
            </w:r>
          </w:p>
          <w:p w:rsidR="00694B53" w:rsidRDefault="00C074DB" w:rsidP="00FF320D">
            <w:pPr>
              <w:jc w:val="both"/>
              <w:rPr>
                <w:sz w:val="18"/>
                <w:szCs w:val="18"/>
              </w:rPr>
            </w:pPr>
            <w:r w:rsidRPr="00554808">
              <w:rPr>
                <w:sz w:val="18"/>
                <w:szCs w:val="18"/>
              </w:rPr>
              <w:t xml:space="preserve">Rozwiązanie to </w:t>
            </w:r>
            <w:r w:rsidR="001A49DA">
              <w:rPr>
                <w:sz w:val="18"/>
                <w:szCs w:val="18"/>
              </w:rPr>
              <w:t xml:space="preserve">bardzo konsekwentnie </w:t>
            </w:r>
            <w:r w:rsidRPr="00554808">
              <w:rPr>
                <w:sz w:val="18"/>
                <w:szCs w:val="18"/>
              </w:rPr>
              <w:t>stosujemy od 2001</w:t>
            </w:r>
            <w:r w:rsidR="006C0FAA">
              <w:rPr>
                <w:sz w:val="18"/>
                <w:szCs w:val="18"/>
              </w:rPr>
              <w:t xml:space="preserve"> </w:t>
            </w:r>
            <w:r w:rsidRPr="00554808">
              <w:rPr>
                <w:sz w:val="18"/>
                <w:szCs w:val="18"/>
              </w:rPr>
              <w:t xml:space="preserve">r. Porównanie subwencji należnej szkole z jej budżetem jest bardzo skutecznym narzędziem optymalizacji wydatków. </w:t>
            </w:r>
            <w:r w:rsidR="002B1631">
              <w:rPr>
                <w:sz w:val="18"/>
                <w:szCs w:val="18"/>
              </w:rPr>
              <w:t xml:space="preserve">Zestawienie takie </w:t>
            </w:r>
            <w:r w:rsidR="00832AB4">
              <w:rPr>
                <w:sz w:val="18"/>
                <w:szCs w:val="18"/>
              </w:rPr>
              <w:t xml:space="preserve">zawsze </w:t>
            </w:r>
            <w:r w:rsidR="002B1631">
              <w:rPr>
                <w:sz w:val="18"/>
                <w:szCs w:val="18"/>
              </w:rPr>
              <w:t xml:space="preserve">robi ogromne wrażenie zarówno na dyrektorach, nauczycielach, radnych jak i rodzicach. Stosowane corocznie, konsekwentnie, staje się naturalnym elementem planowania budżetowego. Nawet jeżeli środków subwencyjnych nie wystarcza do pełnego zabezpieczenia budżetu szkoły (a tak jest przecież </w:t>
            </w:r>
            <w:r w:rsidR="008D26A9">
              <w:rPr>
                <w:sz w:val="18"/>
                <w:szCs w:val="18"/>
              </w:rPr>
              <w:t>najczęściej), to mimo wszystko subwencja należna szkole jest istotnym</w:t>
            </w:r>
            <w:r w:rsidR="00694B53">
              <w:rPr>
                <w:sz w:val="18"/>
                <w:szCs w:val="18"/>
              </w:rPr>
              <w:t>, obiektywnym</w:t>
            </w:r>
            <w:r w:rsidR="008D26A9">
              <w:rPr>
                <w:sz w:val="18"/>
                <w:szCs w:val="18"/>
              </w:rPr>
              <w:t xml:space="preserve"> miernik</w:t>
            </w:r>
            <w:r w:rsidR="001A49DA">
              <w:rPr>
                <w:sz w:val="18"/>
                <w:szCs w:val="18"/>
              </w:rPr>
              <w:t>iem poprawności jej organizacji i</w:t>
            </w:r>
            <w:r w:rsidR="00694B53">
              <w:rPr>
                <w:sz w:val="18"/>
                <w:szCs w:val="18"/>
              </w:rPr>
              <w:t xml:space="preserve"> ponoszonych </w:t>
            </w:r>
            <w:r w:rsidR="001A49DA">
              <w:rPr>
                <w:sz w:val="18"/>
                <w:szCs w:val="18"/>
              </w:rPr>
              <w:t>na</w:t>
            </w:r>
            <w:r w:rsidR="00A93684">
              <w:rPr>
                <w:sz w:val="18"/>
                <w:szCs w:val="18"/>
              </w:rPr>
              <w:t xml:space="preserve"> nią </w:t>
            </w:r>
            <w:r w:rsidR="00694B53">
              <w:rPr>
                <w:sz w:val="18"/>
                <w:szCs w:val="18"/>
              </w:rPr>
              <w:t>wydatków.</w:t>
            </w:r>
            <w:r w:rsidR="008D26A9">
              <w:rPr>
                <w:sz w:val="18"/>
                <w:szCs w:val="18"/>
              </w:rPr>
              <w:t xml:space="preserve"> Dostrzegalne jest </w:t>
            </w:r>
            <w:r w:rsidR="00694B53">
              <w:rPr>
                <w:sz w:val="18"/>
                <w:szCs w:val="18"/>
              </w:rPr>
              <w:t xml:space="preserve">to </w:t>
            </w:r>
            <w:r w:rsidR="008D26A9">
              <w:rPr>
                <w:sz w:val="18"/>
                <w:szCs w:val="18"/>
              </w:rPr>
              <w:t>dla każdego z zainteresowanych. W procesie planowania budżetowego unikamy w ten sposób uznaniowości</w:t>
            </w:r>
            <w:r w:rsidR="00A93684">
              <w:rPr>
                <w:sz w:val="18"/>
                <w:szCs w:val="18"/>
              </w:rPr>
              <w:t>, fawory</w:t>
            </w:r>
            <w:r w:rsidR="00832AB4">
              <w:rPr>
                <w:sz w:val="18"/>
                <w:szCs w:val="18"/>
              </w:rPr>
              <w:t>zowania jednych</w:t>
            </w:r>
            <w:r w:rsidR="001A49DA">
              <w:rPr>
                <w:sz w:val="18"/>
                <w:szCs w:val="18"/>
              </w:rPr>
              <w:t xml:space="preserve"> kosztem</w:t>
            </w:r>
            <w:r w:rsidR="00A93684">
              <w:rPr>
                <w:sz w:val="18"/>
                <w:szCs w:val="18"/>
              </w:rPr>
              <w:t xml:space="preserve"> innych.</w:t>
            </w:r>
          </w:p>
          <w:p w:rsidR="00C074DB" w:rsidRDefault="00C074DB" w:rsidP="00554808">
            <w:pPr>
              <w:spacing w:before="60"/>
              <w:jc w:val="both"/>
              <w:rPr>
                <w:sz w:val="18"/>
                <w:szCs w:val="18"/>
              </w:rPr>
            </w:pPr>
            <w:r w:rsidRPr="00554808">
              <w:rPr>
                <w:sz w:val="18"/>
                <w:szCs w:val="18"/>
              </w:rPr>
              <w:t>Staramy się</w:t>
            </w:r>
            <w:r w:rsidR="00DA64D2">
              <w:rPr>
                <w:sz w:val="18"/>
                <w:szCs w:val="18"/>
              </w:rPr>
              <w:t>,</w:t>
            </w:r>
            <w:r w:rsidRPr="00554808">
              <w:rPr>
                <w:sz w:val="18"/>
                <w:szCs w:val="18"/>
              </w:rPr>
              <w:t xml:space="preserve"> aby subwencja należna szkole</w:t>
            </w:r>
            <w:r w:rsidR="00DA64D2">
              <w:rPr>
                <w:sz w:val="18"/>
                <w:szCs w:val="18"/>
              </w:rPr>
              <w:t>,</w:t>
            </w:r>
            <w:r w:rsidRPr="00554808">
              <w:rPr>
                <w:sz w:val="18"/>
                <w:szCs w:val="18"/>
              </w:rPr>
              <w:t xml:space="preserve"> trafiała do niej w całości. </w:t>
            </w:r>
            <w:r w:rsidR="00694B53">
              <w:rPr>
                <w:sz w:val="18"/>
                <w:szCs w:val="18"/>
              </w:rPr>
              <w:t>Taki cel przyświeca</w:t>
            </w:r>
            <w:r w:rsidR="001A49DA">
              <w:rPr>
                <w:sz w:val="18"/>
                <w:szCs w:val="18"/>
              </w:rPr>
              <w:t>ł</w:t>
            </w:r>
            <w:r w:rsidR="006A3FC2">
              <w:rPr>
                <w:sz w:val="18"/>
                <w:szCs w:val="18"/>
              </w:rPr>
              <w:t xml:space="preserve"> temu rozwiązaniu od początku.</w:t>
            </w:r>
            <w:r w:rsidR="00694B53">
              <w:rPr>
                <w:sz w:val="18"/>
                <w:szCs w:val="18"/>
              </w:rPr>
              <w:t xml:space="preserve"> Jednakże uwzględniając specyfikę gminy miejsko –</w:t>
            </w:r>
            <w:r w:rsidR="00A93684">
              <w:rPr>
                <w:sz w:val="18"/>
                <w:szCs w:val="18"/>
              </w:rPr>
              <w:t xml:space="preserve"> wiejskiej, niemożność optymalnego wypełnienia uczniami każdej ze szkół</w:t>
            </w:r>
            <w:r w:rsidR="006A3FC2">
              <w:rPr>
                <w:sz w:val="18"/>
                <w:szCs w:val="18"/>
              </w:rPr>
              <w:t>,</w:t>
            </w:r>
            <w:r w:rsidR="00A93684">
              <w:rPr>
                <w:sz w:val="18"/>
                <w:szCs w:val="18"/>
              </w:rPr>
              <w:t xml:space="preserve"> s</w:t>
            </w:r>
            <w:r w:rsidRPr="00554808">
              <w:rPr>
                <w:sz w:val="18"/>
                <w:szCs w:val="18"/>
              </w:rPr>
              <w:t xml:space="preserve">tosujemy też </w:t>
            </w:r>
            <w:r w:rsidR="00A93684">
              <w:rPr>
                <w:sz w:val="18"/>
                <w:szCs w:val="18"/>
              </w:rPr>
              <w:t>zasadę pomocniczości. S</w:t>
            </w:r>
            <w:r w:rsidR="00694B53">
              <w:rPr>
                <w:sz w:val="18"/>
                <w:szCs w:val="18"/>
              </w:rPr>
              <w:t xml:space="preserve">zkole, której z obiektywnych przyczyn </w:t>
            </w:r>
            <w:r w:rsidR="00832AB4">
              <w:rPr>
                <w:sz w:val="18"/>
                <w:szCs w:val="18"/>
              </w:rPr>
              <w:t xml:space="preserve">(demografia, obwód) </w:t>
            </w:r>
            <w:r w:rsidR="00694B53">
              <w:rPr>
                <w:sz w:val="18"/>
                <w:szCs w:val="18"/>
              </w:rPr>
              <w:t xml:space="preserve">nie wystarcza </w:t>
            </w:r>
            <w:r w:rsidR="00A93684">
              <w:rPr>
                <w:sz w:val="18"/>
                <w:szCs w:val="18"/>
              </w:rPr>
              <w:t>środków z subwencji</w:t>
            </w:r>
            <w:r w:rsidR="00DA64D2">
              <w:rPr>
                <w:sz w:val="18"/>
                <w:szCs w:val="18"/>
              </w:rPr>
              <w:t>,</w:t>
            </w:r>
            <w:r w:rsidR="00A93684">
              <w:rPr>
                <w:sz w:val="18"/>
                <w:szCs w:val="18"/>
              </w:rPr>
              <w:t xml:space="preserve"> pomagają inne, zamożniejsze placówki. Pamiętajmy, że „pieniądz idzie za uczniem, a wydatkiem jest oddział”. </w:t>
            </w:r>
            <w:r w:rsidR="006A3FC2">
              <w:rPr>
                <w:sz w:val="18"/>
                <w:szCs w:val="18"/>
              </w:rPr>
              <w:t>Ta reguła nie w pełni daje się zastosować w szkołach na terenach wiejskich.</w:t>
            </w:r>
            <w:r w:rsidR="00832AB4">
              <w:rPr>
                <w:sz w:val="18"/>
                <w:szCs w:val="18"/>
              </w:rPr>
              <w:t xml:space="preserve"> </w:t>
            </w:r>
            <w:r w:rsidR="00EE27E3">
              <w:rPr>
                <w:sz w:val="18"/>
                <w:szCs w:val="18"/>
              </w:rPr>
              <w:t>Zaskakującym dla wielu było i jest, że problem ze „spięciem budżetu” miały i mają nadal szkoły w mieście, głównie gimnazja.</w:t>
            </w:r>
          </w:p>
          <w:p w:rsidR="00832AB4" w:rsidRPr="00554808" w:rsidRDefault="00832AB4" w:rsidP="00554808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sposobu finansowania szkół zapowiedziana przez MEN (finansowanie oddziału i ucznia) utwierdza nas w słuszności obranej drogi.</w:t>
            </w:r>
          </w:p>
          <w:p w:rsidR="00C074DB" w:rsidRPr="00C074DB" w:rsidRDefault="00C074DB" w:rsidP="00456851">
            <w:pPr>
              <w:spacing w:before="60"/>
              <w:jc w:val="both"/>
              <w:rPr>
                <w:sz w:val="18"/>
                <w:szCs w:val="18"/>
              </w:rPr>
            </w:pPr>
            <w:r w:rsidRPr="00C074DB">
              <w:rPr>
                <w:sz w:val="18"/>
                <w:szCs w:val="18"/>
              </w:rPr>
              <w:t>W wyniku przyjętego rozwiązania nasze szkoły</w:t>
            </w:r>
            <w:r w:rsidR="001A49DA">
              <w:rPr>
                <w:sz w:val="18"/>
                <w:szCs w:val="18"/>
              </w:rPr>
              <w:t>, w gminie miejsko – wiejskiej,</w:t>
            </w:r>
            <w:r w:rsidRPr="00C074DB">
              <w:rPr>
                <w:sz w:val="18"/>
                <w:szCs w:val="18"/>
              </w:rPr>
              <w:t xml:space="preserve"> od 16 lat w dziedzinie wydatków bieżących funkcjonowały </w:t>
            </w:r>
            <w:r w:rsidR="00A93684">
              <w:rPr>
                <w:sz w:val="18"/>
                <w:szCs w:val="18"/>
              </w:rPr>
              <w:t xml:space="preserve">wyłącznie, albo </w:t>
            </w:r>
            <w:r w:rsidRPr="00C074DB">
              <w:rPr>
                <w:sz w:val="18"/>
                <w:szCs w:val="18"/>
              </w:rPr>
              <w:t>prawie wyłącznie z subwencji.</w:t>
            </w:r>
            <w:r w:rsidR="00A93684">
              <w:rPr>
                <w:sz w:val="18"/>
                <w:szCs w:val="18"/>
              </w:rPr>
              <w:t xml:space="preserve"> </w:t>
            </w:r>
            <w:r w:rsidR="00552E23">
              <w:rPr>
                <w:sz w:val="18"/>
                <w:szCs w:val="18"/>
              </w:rPr>
              <w:t>Opis jak bardzo się zmieniły</w:t>
            </w:r>
            <w:r w:rsidR="00DA64D2">
              <w:rPr>
                <w:sz w:val="18"/>
                <w:szCs w:val="18"/>
              </w:rPr>
              <w:t>,</w:t>
            </w:r>
            <w:r w:rsidR="00552E23">
              <w:rPr>
                <w:sz w:val="18"/>
                <w:szCs w:val="18"/>
              </w:rPr>
              <w:t xml:space="preserve"> przekracza ramy tej publikacji.</w:t>
            </w:r>
          </w:p>
        </w:tc>
      </w:tr>
      <w:tr w:rsidR="00F62EAB" w:rsidRPr="003F51DA" w:rsidTr="00FF320D">
        <w:trPr>
          <w:trHeight w:val="519"/>
        </w:trPr>
        <w:tc>
          <w:tcPr>
            <w:tcW w:w="1565" w:type="dxa"/>
            <w:gridSpan w:val="2"/>
            <w:vMerge w:val="restart"/>
            <w:shd w:val="clear" w:color="auto" w:fill="EAF1DD" w:themeFill="accent3" w:themeFillTint="33"/>
          </w:tcPr>
          <w:p w:rsidR="00F62EAB" w:rsidRPr="007E5C6E" w:rsidRDefault="003D4474" w:rsidP="00F71B02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  <w:r w:rsidR="00F62EAB" w:rsidRPr="007E5C6E">
              <w:rPr>
                <w:sz w:val="18"/>
                <w:szCs w:val="18"/>
              </w:rPr>
              <w:t xml:space="preserve"> Ile to kosztowało?</w:t>
            </w:r>
          </w:p>
          <w:p w:rsidR="00F62EAB" w:rsidRPr="007E5C6E" w:rsidRDefault="00F62EAB" w:rsidP="00F71B02">
            <w:pPr>
              <w:suppressAutoHyphens/>
              <w:spacing w:before="60" w:after="60"/>
              <w:rPr>
                <w:sz w:val="16"/>
                <w:szCs w:val="16"/>
              </w:rPr>
            </w:pP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(I</w:t>
            </w: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nfo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rmacja</w:t>
            </w:r>
            <w:r w:rsidRPr="007E5C6E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 o kosztach systemu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336" w:type="dxa"/>
            <w:gridSpan w:val="6"/>
            <w:shd w:val="clear" w:color="auto" w:fill="auto"/>
          </w:tcPr>
          <w:p w:rsidR="00F62EAB" w:rsidRPr="003F51DA" w:rsidRDefault="00F62EAB" w:rsidP="00F71B02">
            <w:pPr>
              <w:spacing w:before="60" w:after="60"/>
              <w:rPr>
                <w:sz w:val="18"/>
                <w:szCs w:val="18"/>
              </w:rPr>
            </w:pPr>
            <w:r w:rsidRPr="003F51DA">
              <w:rPr>
                <w:sz w:val="18"/>
                <w:szCs w:val="18"/>
                <w:u w:val="single"/>
              </w:rPr>
              <w:t>Koszty związane z opracowaniem i uruchomieniem systemu:</w:t>
            </w:r>
          </w:p>
          <w:p w:rsidR="00F62EAB" w:rsidRPr="003F51DA" w:rsidRDefault="000C4291" w:rsidP="006C0FAA">
            <w:pPr>
              <w:spacing w:before="60"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brak kosztów.</w:t>
            </w:r>
          </w:p>
        </w:tc>
      </w:tr>
      <w:tr w:rsidR="00F62EAB" w:rsidRPr="003F51DA" w:rsidTr="00FF320D">
        <w:trPr>
          <w:trHeight w:val="529"/>
        </w:trPr>
        <w:tc>
          <w:tcPr>
            <w:tcW w:w="1565" w:type="dxa"/>
            <w:gridSpan w:val="2"/>
            <w:vMerge/>
            <w:shd w:val="clear" w:color="auto" w:fill="EAF1DD" w:themeFill="accent3" w:themeFillTint="33"/>
          </w:tcPr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shd w:val="clear" w:color="auto" w:fill="auto"/>
          </w:tcPr>
          <w:p w:rsidR="00F62EAB" w:rsidRPr="003F51DA" w:rsidRDefault="00F62EAB" w:rsidP="00F71B02">
            <w:pPr>
              <w:spacing w:before="60" w:after="60"/>
              <w:rPr>
                <w:sz w:val="18"/>
                <w:szCs w:val="18"/>
                <w:u w:val="single"/>
              </w:rPr>
            </w:pPr>
            <w:r w:rsidRPr="003F51DA">
              <w:rPr>
                <w:sz w:val="18"/>
                <w:szCs w:val="18"/>
                <w:u w:val="single"/>
              </w:rPr>
              <w:t>Koszty bieżące związane z funkcjonowaniem systemu (roczne):</w:t>
            </w:r>
          </w:p>
          <w:p w:rsidR="00F62EAB" w:rsidRPr="00205B2D" w:rsidRDefault="000C4291" w:rsidP="006C0FAA">
            <w:pPr>
              <w:pStyle w:val="Akapitzlist"/>
              <w:spacing w:before="6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</w:t>
            </w:r>
            <w:r w:rsidR="00A93684">
              <w:rPr>
                <w:sz w:val="18"/>
                <w:szCs w:val="18"/>
              </w:rPr>
              <w:t>rak kosztów.</w:t>
            </w:r>
          </w:p>
        </w:tc>
      </w:tr>
      <w:tr w:rsidR="00F62EAB" w:rsidRPr="003F51DA" w:rsidTr="006C0FAA">
        <w:trPr>
          <w:trHeight w:val="1377"/>
        </w:trPr>
        <w:tc>
          <w:tcPr>
            <w:tcW w:w="1565" w:type="dxa"/>
            <w:gridSpan w:val="2"/>
            <w:vMerge w:val="restart"/>
            <w:shd w:val="clear" w:color="auto" w:fill="EAF1DD" w:themeFill="accent3" w:themeFillTint="33"/>
          </w:tcPr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  <w:r w:rsidRPr="007E5C6E">
              <w:rPr>
                <w:sz w:val="18"/>
                <w:szCs w:val="18"/>
              </w:rPr>
              <w:t>2.</w:t>
            </w:r>
            <w:r w:rsidR="003D4474">
              <w:rPr>
                <w:sz w:val="18"/>
                <w:szCs w:val="18"/>
              </w:rPr>
              <w:t>7</w:t>
            </w:r>
            <w:r w:rsidRPr="007E5C6E">
              <w:rPr>
                <w:sz w:val="18"/>
                <w:szCs w:val="18"/>
              </w:rPr>
              <w:t xml:space="preserve"> </w:t>
            </w:r>
            <w:r w:rsidRPr="006A1FC6">
              <w:rPr>
                <w:sz w:val="18"/>
                <w:szCs w:val="18"/>
              </w:rPr>
              <w:t>Dlaczego warto promować to rozwiązanie?</w:t>
            </w:r>
          </w:p>
          <w:p w:rsidR="00F62EAB" w:rsidRPr="007E5C6E" w:rsidRDefault="00F62EAB" w:rsidP="00F71B02">
            <w:pPr>
              <w:suppressAutoHyphens/>
              <w:spacing w:before="60" w:after="60"/>
              <w:rPr>
                <w:sz w:val="16"/>
                <w:szCs w:val="16"/>
              </w:rPr>
            </w:pP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</w:t>
            </w:r>
            <w:r w:rsidRPr="006A1FC6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Ocena w skali 1-5 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plus krótkie </w:t>
            </w:r>
            <w:r w:rsidRPr="006A1FC6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uzasadnienie)</w:t>
            </w:r>
          </w:p>
        </w:tc>
        <w:tc>
          <w:tcPr>
            <w:tcW w:w="83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72AE" w:rsidRPr="00D272AE" w:rsidRDefault="00F62EAB" w:rsidP="00D272A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Waga problemu</w:t>
            </w:r>
            <w:r w:rsidR="0038512B">
              <w:rPr>
                <w:sz w:val="18"/>
                <w:szCs w:val="18"/>
                <w:u w:val="single"/>
              </w:rPr>
              <w:t>:</w:t>
            </w:r>
            <w:r w:rsidR="00D272AE" w:rsidRPr="00D272AE">
              <w:rPr>
                <w:sz w:val="18"/>
                <w:szCs w:val="18"/>
              </w:rPr>
              <w:t xml:space="preserve"> Ocena</w:t>
            </w:r>
            <w:r w:rsidR="009C6869">
              <w:rPr>
                <w:sz w:val="18"/>
                <w:szCs w:val="18"/>
              </w:rPr>
              <w:t xml:space="preserve"> </w:t>
            </w:r>
            <w:r w:rsidR="000C4291">
              <w:rPr>
                <w:b/>
                <w:sz w:val="18"/>
                <w:szCs w:val="18"/>
              </w:rPr>
              <w:t>5.</w:t>
            </w:r>
          </w:p>
          <w:p w:rsidR="00B73408" w:rsidRPr="00C074DB" w:rsidRDefault="00832AB4" w:rsidP="006C0FAA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B73408" w:rsidRPr="00C074DB">
              <w:rPr>
                <w:sz w:val="18"/>
                <w:szCs w:val="18"/>
              </w:rPr>
              <w:t>dukacja przedszk</w:t>
            </w:r>
            <w:r w:rsidR="000C4291">
              <w:rPr>
                <w:sz w:val="18"/>
                <w:szCs w:val="18"/>
              </w:rPr>
              <w:t>olna</w:t>
            </w:r>
            <w:r>
              <w:rPr>
                <w:sz w:val="18"/>
                <w:szCs w:val="18"/>
              </w:rPr>
              <w:t xml:space="preserve"> jest kosztowna. Trzeba</w:t>
            </w:r>
            <w:r w:rsidR="00B73408" w:rsidRPr="00C074DB">
              <w:rPr>
                <w:sz w:val="18"/>
                <w:szCs w:val="18"/>
              </w:rPr>
              <w:t xml:space="preserve"> </w:t>
            </w:r>
            <w:r w:rsidR="00006CD9">
              <w:rPr>
                <w:sz w:val="18"/>
                <w:szCs w:val="18"/>
              </w:rPr>
              <w:t xml:space="preserve">i warto </w:t>
            </w:r>
            <w:r>
              <w:rPr>
                <w:sz w:val="18"/>
                <w:szCs w:val="18"/>
              </w:rPr>
              <w:t>nad tym panować. W wypadku oddziałów przedszkolnych w szkole podstawowej</w:t>
            </w:r>
            <w:r w:rsidR="00B73408" w:rsidRPr="00C074DB">
              <w:rPr>
                <w:sz w:val="18"/>
                <w:szCs w:val="18"/>
              </w:rPr>
              <w:t xml:space="preserve"> istotne jest czytelne rozdzielenie i finansowanie k</w:t>
            </w:r>
            <w:r w:rsidR="00006CD9">
              <w:rPr>
                <w:sz w:val="18"/>
                <w:szCs w:val="18"/>
              </w:rPr>
              <w:t>osztów przedszkola i szkoły.</w:t>
            </w:r>
          </w:p>
          <w:p w:rsidR="00F62EAB" w:rsidRPr="00C074DB" w:rsidRDefault="00006CD9" w:rsidP="006C0FAA">
            <w:pPr>
              <w:pStyle w:val="Akapitzlist"/>
              <w:numPr>
                <w:ilvl w:val="0"/>
                <w:numId w:val="14"/>
              </w:num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szkół wagę można przeliczyć na złotówki</w:t>
            </w:r>
            <w:r w:rsidR="00C074DB" w:rsidRPr="00C074DB">
              <w:rPr>
                <w:sz w:val="18"/>
                <w:szCs w:val="18"/>
              </w:rPr>
              <w:t xml:space="preserve"> Być może jest</w:t>
            </w:r>
            <w:r>
              <w:rPr>
                <w:sz w:val="18"/>
                <w:szCs w:val="18"/>
              </w:rPr>
              <w:t xml:space="preserve"> to spora część kwoty, którą gmina</w:t>
            </w:r>
            <w:r w:rsidR="00C074DB" w:rsidRPr="00C074DB">
              <w:rPr>
                <w:sz w:val="18"/>
                <w:szCs w:val="18"/>
              </w:rPr>
              <w:t xml:space="preserve"> dopłaca do szkół.</w:t>
            </w:r>
          </w:p>
        </w:tc>
      </w:tr>
      <w:tr w:rsidR="00F62EAB" w:rsidRPr="003F51DA" w:rsidTr="009C6869">
        <w:trPr>
          <w:trHeight w:val="850"/>
        </w:trPr>
        <w:tc>
          <w:tcPr>
            <w:tcW w:w="1565" w:type="dxa"/>
            <w:gridSpan w:val="2"/>
            <w:vMerge/>
            <w:shd w:val="clear" w:color="auto" w:fill="EAF1DD" w:themeFill="accent3" w:themeFillTint="33"/>
          </w:tcPr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72AE" w:rsidRPr="00D272AE" w:rsidRDefault="00F62EAB" w:rsidP="00D272AE">
            <w:pPr>
              <w:spacing w:before="60" w:after="60"/>
              <w:rPr>
                <w:sz w:val="18"/>
                <w:szCs w:val="18"/>
              </w:rPr>
            </w:pPr>
            <w:r w:rsidRPr="00360627">
              <w:rPr>
                <w:sz w:val="18"/>
                <w:szCs w:val="18"/>
                <w:u w:val="single"/>
              </w:rPr>
              <w:t>Innowacyjność podejścia</w:t>
            </w:r>
            <w:r w:rsidRPr="00D272AE">
              <w:rPr>
                <w:sz w:val="18"/>
                <w:szCs w:val="18"/>
              </w:rPr>
              <w:t>:</w:t>
            </w:r>
            <w:r w:rsidR="00D272AE" w:rsidRPr="00D272AE">
              <w:rPr>
                <w:sz w:val="18"/>
                <w:szCs w:val="18"/>
              </w:rPr>
              <w:t xml:space="preserve"> Ocena </w:t>
            </w:r>
            <w:r w:rsidR="000C4291">
              <w:rPr>
                <w:b/>
                <w:sz w:val="18"/>
                <w:szCs w:val="18"/>
              </w:rPr>
              <w:t>5.</w:t>
            </w:r>
          </w:p>
          <w:p w:rsidR="00C074DB" w:rsidRDefault="00B73408" w:rsidP="00C074DB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sz w:val="18"/>
                <w:szCs w:val="18"/>
              </w:rPr>
            </w:pPr>
            <w:r w:rsidRPr="00C074DB">
              <w:rPr>
                <w:sz w:val="18"/>
                <w:szCs w:val="18"/>
              </w:rPr>
              <w:t xml:space="preserve">Samorządy wydają na </w:t>
            </w:r>
            <w:r w:rsidR="00006CD9">
              <w:rPr>
                <w:sz w:val="18"/>
                <w:szCs w:val="18"/>
              </w:rPr>
              <w:t>przedszkola i oddziały przedszkolne</w:t>
            </w:r>
            <w:r w:rsidRPr="00C074DB">
              <w:rPr>
                <w:sz w:val="18"/>
                <w:szCs w:val="18"/>
              </w:rPr>
              <w:t xml:space="preserve"> tyle ile mogą, </w:t>
            </w:r>
            <w:r w:rsidR="00EE27E3">
              <w:rPr>
                <w:sz w:val="18"/>
                <w:szCs w:val="18"/>
              </w:rPr>
              <w:t xml:space="preserve">często </w:t>
            </w:r>
            <w:r w:rsidRPr="00C074DB">
              <w:rPr>
                <w:sz w:val="18"/>
                <w:szCs w:val="18"/>
              </w:rPr>
              <w:t>nie wiedząc dokładn</w:t>
            </w:r>
            <w:r w:rsidR="00006CD9">
              <w:rPr>
                <w:sz w:val="18"/>
                <w:szCs w:val="18"/>
              </w:rPr>
              <w:t>ie czy dają za dużo czy za mało.</w:t>
            </w:r>
          </w:p>
          <w:p w:rsidR="00F62EAB" w:rsidRPr="00C074DB" w:rsidRDefault="00006CD9" w:rsidP="00C074DB">
            <w:pPr>
              <w:pStyle w:val="Akapitzlist"/>
              <w:numPr>
                <w:ilvl w:val="0"/>
                <w:numId w:val="15"/>
              </w:numPr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wypadku szkół </w:t>
            </w:r>
            <w:r w:rsidR="00C074DB" w:rsidRPr="00C074DB">
              <w:rPr>
                <w:sz w:val="18"/>
                <w:szCs w:val="18"/>
              </w:rPr>
              <w:t xml:space="preserve">to proste rozwiązanie pozwala </w:t>
            </w:r>
            <w:r w:rsidR="00552E23">
              <w:rPr>
                <w:sz w:val="18"/>
                <w:szCs w:val="18"/>
              </w:rPr>
              <w:t xml:space="preserve">szybko i dość </w:t>
            </w:r>
            <w:r w:rsidR="00C074DB" w:rsidRPr="00C074DB">
              <w:rPr>
                <w:sz w:val="18"/>
                <w:szCs w:val="18"/>
              </w:rPr>
              <w:t>obiektywnie ocenić racjonalność organizacji szkoły.</w:t>
            </w:r>
          </w:p>
        </w:tc>
      </w:tr>
      <w:tr w:rsidR="00F62EAB" w:rsidRPr="003F51DA" w:rsidTr="00FF320D">
        <w:trPr>
          <w:trHeight w:val="1024"/>
        </w:trPr>
        <w:tc>
          <w:tcPr>
            <w:tcW w:w="1565" w:type="dxa"/>
            <w:gridSpan w:val="2"/>
            <w:vMerge/>
            <w:shd w:val="clear" w:color="auto" w:fill="EAF1DD" w:themeFill="accent3" w:themeFillTint="33"/>
          </w:tcPr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72AE" w:rsidRPr="00D272AE" w:rsidRDefault="00F62EAB" w:rsidP="00D272A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Skuteczność rozwiązania</w:t>
            </w:r>
            <w:r w:rsidRPr="00D272AE">
              <w:rPr>
                <w:sz w:val="18"/>
                <w:szCs w:val="18"/>
              </w:rPr>
              <w:t>:</w:t>
            </w:r>
            <w:r w:rsidR="000C4291">
              <w:rPr>
                <w:sz w:val="18"/>
                <w:szCs w:val="18"/>
              </w:rPr>
              <w:t xml:space="preserve"> Ocena </w:t>
            </w:r>
            <w:r w:rsidR="000C4291" w:rsidRPr="000C4291">
              <w:rPr>
                <w:b/>
                <w:sz w:val="18"/>
                <w:szCs w:val="18"/>
              </w:rPr>
              <w:t>5.</w:t>
            </w:r>
          </w:p>
          <w:p w:rsidR="00F62EAB" w:rsidRDefault="00006CD9" w:rsidP="006C0FAA">
            <w:pPr>
              <w:pStyle w:val="Akapitzlist"/>
              <w:numPr>
                <w:ilvl w:val="0"/>
                <w:numId w:val="16"/>
              </w:numPr>
              <w:tabs>
                <w:tab w:val="left" w:pos="1830"/>
              </w:tabs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Zyskują przedszkola i gmina. W oddziałach przedszkolnych przy szkołach podstawowych</w:t>
            </w:r>
            <w:r w:rsidR="00B73408" w:rsidRPr="00C074DB">
              <w:rPr>
                <w:sz w:val="18"/>
                <w:szCs w:val="18"/>
              </w:rPr>
              <w:t xml:space="preserve"> od lat nie mamy żadnych problemów.</w:t>
            </w:r>
          </w:p>
          <w:p w:rsidR="00C074DB" w:rsidRPr="00C074DB" w:rsidRDefault="00006CD9" w:rsidP="006C0FAA">
            <w:pPr>
              <w:pStyle w:val="Akapitzlist"/>
              <w:numPr>
                <w:ilvl w:val="0"/>
                <w:numId w:val="16"/>
              </w:numPr>
              <w:tabs>
                <w:tab w:val="left" w:pos="1830"/>
              </w:tabs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wypadku szkół </w:t>
            </w:r>
            <w:r w:rsidR="00552E23">
              <w:rPr>
                <w:sz w:val="18"/>
                <w:szCs w:val="18"/>
              </w:rPr>
              <w:t xml:space="preserve">skuteczność </w:t>
            </w:r>
            <w:r w:rsidR="00C074DB" w:rsidRPr="00C074DB">
              <w:rPr>
                <w:sz w:val="18"/>
                <w:szCs w:val="18"/>
              </w:rPr>
              <w:t>zależy</w:t>
            </w:r>
            <w:r>
              <w:rPr>
                <w:sz w:val="18"/>
                <w:szCs w:val="18"/>
              </w:rPr>
              <w:t xml:space="preserve"> tylko od konsekwencji władz gminy</w:t>
            </w:r>
            <w:r w:rsidR="00C074DB" w:rsidRPr="00C074DB">
              <w:rPr>
                <w:sz w:val="18"/>
                <w:szCs w:val="18"/>
              </w:rPr>
              <w:t xml:space="preserve"> i barier</w:t>
            </w:r>
            <w:r w:rsidR="00DA64D2">
              <w:rPr>
                <w:sz w:val="18"/>
                <w:szCs w:val="18"/>
              </w:rPr>
              <w:t>,</w:t>
            </w:r>
            <w:r w:rsidR="00C074DB" w:rsidRPr="00C074DB">
              <w:rPr>
                <w:sz w:val="18"/>
                <w:szCs w:val="18"/>
              </w:rPr>
              <w:t xml:space="preserve"> z jakimi borykają się szkoły. U nas jest bardzo wysoka.</w:t>
            </w:r>
          </w:p>
        </w:tc>
      </w:tr>
      <w:tr w:rsidR="00F62EAB" w:rsidRPr="003F51DA" w:rsidTr="009C6869">
        <w:trPr>
          <w:trHeight w:val="850"/>
        </w:trPr>
        <w:tc>
          <w:tcPr>
            <w:tcW w:w="1565" w:type="dxa"/>
            <w:gridSpan w:val="2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F62EAB" w:rsidRPr="007E5C6E" w:rsidRDefault="00F62EAB" w:rsidP="00F71B0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3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272AE" w:rsidRPr="00D272AE" w:rsidRDefault="00F62EAB" w:rsidP="00D272AE">
            <w:pPr>
              <w:spacing w:before="60" w:after="60"/>
              <w:rPr>
                <w:sz w:val="18"/>
                <w:szCs w:val="18"/>
                <w:u w:val="single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Replikowalność</w:t>
            </w:r>
            <w:proofErr w:type="spellEnd"/>
            <w:r>
              <w:rPr>
                <w:sz w:val="18"/>
                <w:szCs w:val="18"/>
                <w:u w:val="single"/>
              </w:rPr>
              <w:t xml:space="preserve"> - liczba JST, które mogą z niego skorzystać</w:t>
            </w:r>
            <w:r w:rsidRPr="00D272AE">
              <w:rPr>
                <w:sz w:val="18"/>
                <w:szCs w:val="18"/>
              </w:rPr>
              <w:t>:</w:t>
            </w:r>
            <w:r w:rsidR="00D272AE" w:rsidRPr="00D272AE">
              <w:rPr>
                <w:sz w:val="18"/>
                <w:szCs w:val="18"/>
              </w:rPr>
              <w:t xml:space="preserve"> Ocena </w:t>
            </w:r>
            <w:r w:rsidR="000C4291">
              <w:rPr>
                <w:b/>
                <w:sz w:val="18"/>
                <w:szCs w:val="18"/>
              </w:rPr>
              <w:t>5.</w:t>
            </w:r>
          </w:p>
          <w:p w:rsidR="00F62EAB" w:rsidRDefault="00006CD9" w:rsidP="006C0FAA">
            <w:pPr>
              <w:pStyle w:val="Akapitzlist"/>
              <w:numPr>
                <w:ilvl w:val="0"/>
                <w:numId w:val="17"/>
              </w:num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wypadku przedszkoli i oddziałów przedszkolnych w szkołach </w:t>
            </w:r>
            <w:r w:rsidR="00B73408">
              <w:rPr>
                <w:sz w:val="18"/>
                <w:szCs w:val="18"/>
              </w:rPr>
              <w:t>nie ma żadny</w:t>
            </w:r>
            <w:r>
              <w:rPr>
                <w:sz w:val="18"/>
                <w:szCs w:val="18"/>
              </w:rPr>
              <w:t>ch przeszkód, aby rozwiązania te</w:t>
            </w:r>
            <w:r w:rsidR="00B73408">
              <w:rPr>
                <w:sz w:val="18"/>
                <w:szCs w:val="18"/>
              </w:rPr>
              <w:t xml:space="preserve"> zastosować w każdej </w:t>
            </w:r>
            <w:proofErr w:type="spellStart"/>
            <w:r w:rsidR="00B73408">
              <w:rPr>
                <w:sz w:val="18"/>
                <w:szCs w:val="18"/>
              </w:rPr>
              <w:t>jst</w:t>
            </w:r>
            <w:proofErr w:type="spellEnd"/>
            <w:r w:rsidR="00B73408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Być może r</w:t>
            </w:r>
            <w:r w:rsidR="00B73408">
              <w:rPr>
                <w:sz w:val="18"/>
                <w:szCs w:val="18"/>
              </w:rPr>
              <w:t>ozwiązania dotyczącego przed</w:t>
            </w:r>
            <w:r>
              <w:rPr>
                <w:sz w:val="18"/>
                <w:szCs w:val="18"/>
              </w:rPr>
              <w:t>szkoli nie warto stosow</w:t>
            </w:r>
            <w:r w:rsidR="00552E23">
              <w:rPr>
                <w:sz w:val="18"/>
                <w:szCs w:val="18"/>
              </w:rPr>
              <w:t>ać dla bardzo małych placówek (1</w:t>
            </w:r>
            <w:r>
              <w:rPr>
                <w:sz w:val="18"/>
                <w:szCs w:val="18"/>
              </w:rPr>
              <w:t>, 2 oddziały).</w:t>
            </w:r>
          </w:p>
          <w:p w:rsidR="00C074DB" w:rsidRPr="00205B2D" w:rsidRDefault="00C074DB" w:rsidP="006C0FAA">
            <w:pPr>
              <w:pStyle w:val="Akapitzlist"/>
              <w:numPr>
                <w:ilvl w:val="0"/>
                <w:numId w:val="17"/>
              </w:numPr>
              <w:spacing w:before="60"/>
              <w:jc w:val="both"/>
              <w:rPr>
                <w:sz w:val="18"/>
                <w:szCs w:val="18"/>
              </w:rPr>
            </w:pPr>
            <w:r w:rsidRPr="00C074DB">
              <w:rPr>
                <w:sz w:val="18"/>
                <w:szCs w:val="18"/>
              </w:rPr>
              <w:t xml:space="preserve">Rozwiązanie </w:t>
            </w:r>
            <w:r w:rsidR="00552E23">
              <w:rPr>
                <w:sz w:val="18"/>
                <w:szCs w:val="18"/>
              </w:rPr>
              <w:t>dotyczące podziału subwencji dla</w:t>
            </w:r>
            <w:r w:rsidR="00006CD9">
              <w:rPr>
                <w:sz w:val="18"/>
                <w:szCs w:val="18"/>
              </w:rPr>
              <w:t xml:space="preserve"> szkół </w:t>
            </w:r>
            <w:r w:rsidRPr="00C074DB">
              <w:rPr>
                <w:sz w:val="18"/>
                <w:szCs w:val="18"/>
              </w:rPr>
              <w:t>daje się zastosować w każdym sa</w:t>
            </w:r>
            <w:r w:rsidR="00006CD9">
              <w:rPr>
                <w:sz w:val="18"/>
                <w:szCs w:val="18"/>
              </w:rPr>
              <w:t xml:space="preserve">morządzie. </w:t>
            </w:r>
          </w:p>
        </w:tc>
      </w:tr>
      <w:tr w:rsidR="00F62EAB" w:rsidRPr="003F51DA" w:rsidTr="009C6869">
        <w:trPr>
          <w:trHeight w:val="1701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F62EAB" w:rsidRPr="0038512B" w:rsidRDefault="00F62EAB" w:rsidP="00F71B02">
            <w:pPr>
              <w:spacing w:before="60" w:after="60"/>
              <w:rPr>
                <w:sz w:val="18"/>
                <w:szCs w:val="18"/>
              </w:rPr>
            </w:pPr>
            <w:r w:rsidRPr="0038512B">
              <w:rPr>
                <w:sz w:val="18"/>
                <w:szCs w:val="18"/>
              </w:rPr>
              <w:t>2.</w:t>
            </w:r>
            <w:r w:rsidR="003D4474">
              <w:rPr>
                <w:sz w:val="18"/>
                <w:szCs w:val="18"/>
              </w:rPr>
              <w:t>8</w:t>
            </w:r>
            <w:r w:rsidRPr="0038512B">
              <w:rPr>
                <w:sz w:val="18"/>
                <w:szCs w:val="18"/>
              </w:rPr>
              <w:t xml:space="preserve"> Zalecenia dot. replikacji narzędzia</w:t>
            </w:r>
          </w:p>
          <w:p w:rsidR="00F62EAB" w:rsidRPr="003F51DA" w:rsidRDefault="00F62EAB" w:rsidP="00F71B02">
            <w:pPr>
              <w:suppressAutoHyphens/>
              <w:spacing w:before="60" w:after="60"/>
              <w:rPr>
                <w:sz w:val="18"/>
                <w:szCs w:val="18"/>
                <w:u w:val="single"/>
              </w:rPr>
            </w:pPr>
            <w:r w:rsidRPr="00553860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(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Ryzyka i ograniczenia, na które należy </w:t>
            </w:r>
            <w:r w:rsidRPr="00553860"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 xml:space="preserve"> zwrócić </w:t>
            </w:r>
            <w:r>
              <w:rPr>
                <w:rFonts w:eastAsia="Calibri" w:cs="Arial"/>
                <w:i/>
                <w:iCs/>
                <w:color w:val="0000FF"/>
                <w:sz w:val="16"/>
                <w:szCs w:val="16"/>
                <w:lang w:eastAsia="en-US"/>
              </w:rPr>
              <w:t>uwagę)</w:t>
            </w:r>
          </w:p>
        </w:tc>
        <w:tc>
          <w:tcPr>
            <w:tcW w:w="83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C359E" w:rsidRDefault="008C359E" w:rsidP="006C0FAA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algorytmicznym finansowaniu przedszkoli</w:t>
            </w:r>
            <w:r w:rsidR="004207C6">
              <w:rPr>
                <w:sz w:val="18"/>
                <w:szCs w:val="18"/>
              </w:rPr>
              <w:t xml:space="preserve"> czy też porównywaniu wyliczonej dla szkoły subwencji z jej budżetem</w:t>
            </w:r>
            <w:r>
              <w:rPr>
                <w:sz w:val="18"/>
                <w:szCs w:val="18"/>
              </w:rPr>
              <w:t xml:space="preserve"> niezwykle ważna jest konsekwencja. Raz </w:t>
            </w:r>
            <w:r w:rsidR="004207C6">
              <w:rPr>
                <w:sz w:val="18"/>
                <w:szCs w:val="18"/>
              </w:rPr>
              <w:t>„</w:t>
            </w:r>
            <w:r w:rsidR="00E00F04">
              <w:rPr>
                <w:sz w:val="18"/>
                <w:szCs w:val="18"/>
              </w:rPr>
              <w:t xml:space="preserve">zyskuje przedszkole lub </w:t>
            </w:r>
            <w:r w:rsidR="004207C6">
              <w:rPr>
                <w:sz w:val="18"/>
                <w:szCs w:val="18"/>
              </w:rPr>
              <w:t xml:space="preserve">szkoła” </w:t>
            </w:r>
            <w:r w:rsidR="00E00F04">
              <w:rPr>
                <w:sz w:val="18"/>
                <w:szCs w:val="18"/>
              </w:rPr>
              <w:t>innym razem</w:t>
            </w:r>
            <w:r>
              <w:rPr>
                <w:sz w:val="18"/>
                <w:szCs w:val="18"/>
              </w:rPr>
              <w:t xml:space="preserve"> </w:t>
            </w:r>
            <w:r w:rsidR="004207C6">
              <w:rPr>
                <w:sz w:val="18"/>
                <w:szCs w:val="18"/>
              </w:rPr>
              <w:t>„</w:t>
            </w:r>
            <w:r>
              <w:rPr>
                <w:sz w:val="18"/>
                <w:szCs w:val="18"/>
              </w:rPr>
              <w:t>zyskuje gmina</w:t>
            </w:r>
            <w:r w:rsidR="004207C6">
              <w:rPr>
                <w:sz w:val="18"/>
                <w:szCs w:val="18"/>
              </w:rPr>
              <w:t>”. Z</w:t>
            </w:r>
            <w:r>
              <w:rPr>
                <w:sz w:val="18"/>
                <w:szCs w:val="18"/>
              </w:rPr>
              <w:t xml:space="preserve">awsze zyskują dzieci. Przy pracach na „spięciem budżetu” istnieje ogromna presja, aby „zabrać”, zmniejszyć </w:t>
            </w:r>
            <w:r w:rsidR="00552E23">
              <w:rPr>
                <w:sz w:val="18"/>
                <w:szCs w:val="18"/>
              </w:rPr>
              <w:t>„</w:t>
            </w:r>
            <w:r w:rsidR="00484EF1">
              <w:rPr>
                <w:sz w:val="18"/>
                <w:szCs w:val="18"/>
              </w:rPr>
              <w:t xml:space="preserve">nadmierną </w:t>
            </w:r>
            <w:r>
              <w:rPr>
                <w:sz w:val="18"/>
                <w:szCs w:val="18"/>
              </w:rPr>
              <w:t>dotację</w:t>
            </w:r>
            <w:r w:rsidR="00552E23"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 xml:space="preserve"> </w:t>
            </w:r>
            <w:r w:rsidR="00484EF1">
              <w:rPr>
                <w:sz w:val="18"/>
                <w:szCs w:val="18"/>
              </w:rPr>
              <w:t xml:space="preserve">gminy dla przedszkoli </w:t>
            </w:r>
            <w:r>
              <w:rPr>
                <w:sz w:val="18"/>
                <w:szCs w:val="18"/>
              </w:rPr>
              <w:t>(teraz również w części subwencję)</w:t>
            </w:r>
            <w:r w:rsidR="00484EF1">
              <w:rPr>
                <w:sz w:val="18"/>
                <w:szCs w:val="18"/>
              </w:rPr>
              <w:t>, uszczknąć coś z ogromnego budżetu oświaty. Nigdzie tak łatwo nie można „ściąć budżetu” jak w oświacie</w:t>
            </w:r>
            <w:r>
              <w:rPr>
                <w:sz w:val="18"/>
                <w:szCs w:val="18"/>
              </w:rPr>
              <w:t xml:space="preserve">. Radni, skarbnicy, a nawet </w:t>
            </w:r>
            <w:r w:rsidR="00484EF1">
              <w:rPr>
                <w:sz w:val="18"/>
                <w:szCs w:val="18"/>
              </w:rPr>
              <w:t xml:space="preserve">dyrektorzy szkół, przedszkoli </w:t>
            </w:r>
            <w:r>
              <w:rPr>
                <w:sz w:val="18"/>
                <w:szCs w:val="18"/>
              </w:rPr>
              <w:t xml:space="preserve">często nie chcą </w:t>
            </w:r>
            <w:r w:rsidR="00484EF1">
              <w:rPr>
                <w:sz w:val="18"/>
                <w:szCs w:val="18"/>
              </w:rPr>
              <w:t>też przyjąć do wiadomości, że nie powinno się co roku zmieniać polityki finansowej.</w:t>
            </w:r>
            <w:r w:rsidR="003E290E">
              <w:rPr>
                <w:sz w:val="18"/>
                <w:szCs w:val="18"/>
              </w:rPr>
              <w:t xml:space="preserve"> </w:t>
            </w:r>
            <w:r w:rsidR="00552E23">
              <w:rPr>
                <w:sz w:val="18"/>
                <w:szCs w:val="18"/>
              </w:rPr>
              <w:t>Ogromnie ważną jest reguła, że j</w:t>
            </w:r>
            <w:r w:rsidR="003E290E">
              <w:rPr>
                <w:sz w:val="18"/>
                <w:szCs w:val="18"/>
              </w:rPr>
              <w:t xml:space="preserve">eżeli przedszkole </w:t>
            </w:r>
            <w:r w:rsidR="00484EF1">
              <w:rPr>
                <w:sz w:val="18"/>
                <w:szCs w:val="18"/>
              </w:rPr>
              <w:t xml:space="preserve">albo szkoła </w:t>
            </w:r>
            <w:r w:rsidR="003E290E">
              <w:rPr>
                <w:sz w:val="18"/>
                <w:szCs w:val="18"/>
              </w:rPr>
              <w:t>„zaoszczędzi coś w budżecie”</w:t>
            </w:r>
            <w:r w:rsidR="00DA64D2">
              <w:rPr>
                <w:sz w:val="18"/>
                <w:szCs w:val="18"/>
              </w:rPr>
              <w:t>, to powinna</w:t>
            </w:r>
            <w:r w:rsidR="003E290E">
              <w:rPr>
                <w:sz w:val="18"/>
                <w:szCs w:val="18"/>
              </w:rPr>
              <w:t xml:space="preserve"> z tych środ</w:t>
            </w:r>
            <w:r w:rsidR="00DA64D2">
              <w:rPr>
                <w:sz w:val="18"/>
                <w:szCs w:val="18"/>
              </w:rPr>
              <w:t xml:space="preserve">ków </w:t>
            </w:r>
            <w:r w:rsidR="003E290E">
              <w:rPr>
                <w:sz w:val="18"/>
                <w:szCs w:val="18"/>
              </w:rPr>
              <w:t xml:space="preserve">korzystać. </w:t>
            </w:r>
          </w:p>
          <w:p w:rsidR="0026282A" w:rsidRPr="00D272AE" w:rsidRDefault="00F8112A" w:rsidP="006C0FAA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Słuszność przyjętych u nas 17 lat temu rozwiązań potwierdza p</w:t>
            </w:r>
            <w:r w:rsidR="0026282A">
              <w:rPr>
                <w:sz w:val="18"/>
                <w:szCs w:val="18"/>
              </w:rPr>
              <w:t xml:space="preserve">rzygotowywana obecnie </w:t>
            </w:r>
            <w:r w:rsidR="00484EF1">
              <w:rPr>
                <w:sz w:val="18"/>
                <w:szCs w:val="18"/>
              </w:rPr>
              <w:t xml:space="preserve">w MEN </w:t>
            </w:r>
            <w:r>
              <w:rPr>
                <w:sz w:val="18"/>
                <w:szCs w:val="18"/>
              </w:rPr>
              <w:t>ustawa o finansowaniu oświaty</w:t>
            </w:r>
            <w:r w:rsidR="0026282A">
              <w:rPr>
                <w:sz w:val="18"/>
                <w:szCs w:val="18"/>
              </w:rPr>
              <w:t xml:space="preserve">. </w:t>
            </w:r>
            <w:r w:rsidR="00484EF1">
              <w:rPr>
                <w:sz w:val="18"/>
                <w:szCs w:val="18"/>
              </w:rPr>
              <w:t>Przyjęte w niej</w:t>
            </w:r>
            <w:r w:rsidR="0026282A">
              <w:rPr>
                <w:sz w:val="18"/>
                <w:szCs w:val="18"/>
              </w:rPr>
              <w:t xml:space="preserve"> założenia, takie jak: bazowa kwota na finansowanie oddziału (mieszczącego się w standardach), kwota uzupełniająca idąca za uczniem</w:t>
            </w:r>
            <w:r w:rsidR="00E15B93">
              <w:rPr>
                <w:sz w:val="18"/>
                <w:szCs w:val="18"/>
              </w:rPr>
              <w:t xml:space="preserve"> (od 2018</w:t>
            </w:r>
            <w:r w:rsidR="006C0FAA">
              <w:rPr>
                <w:sz w:val="18"/>
                <w:szCs w:val="18"/>
              </w:rPr>
              <w:t xml:space="preserve"> </w:t>
            </w:r>
            <w:r w:rsidR="00E15B93">
              <w:rPr>
                <w:sz w:val="18"/>
                <w:szCs w:val="18"/>
              </w:rPr>
              <w:t>r.)</w:t>
            </w:r>
            <w:r w:rsidR="0026282A">
              <w:rPr>
                <w:sz w:val="18"/>
                <w:szCs w:val="18"/>
              </w:rPr>
              <w:t xml:space="preserve">, premiowanie jednozmianowości </w:t>
            </w:r>
            <w:r w:rsidR="00484EF1">
              <w:rPr>
                <w:sz w:val="18"/>
                <w:szCs w:val="18"/>
              </w:rPr>
              <w:t>(od 2019</w:t>
            </w:r>
            <w:r w:rsidR="006C0FAA">
              <w:rPr>
                <w:sz w:val="18"/>
                <w:szCs w:val="18"/>
              </w:rPr>
              <w:t xml:space="preserve"> </w:t>
            </w:r>
            <w:r w:rsidR="00E15B93">
              <w:rPr>
                <w:sz w:val="18"/>
                <w:szCs w:val="18"/>
              </w:rPr>
              <w:t>r.</w:t>
            </w:r>
            <w:r w:rsidR="00484EF1">
              <w:rPr>
                <w:sz w:val="18"/>
                <w:szCs w:val="18"/>
              </w:rPr>
              <w:t>)</w:t>
            </w:r>
            <w:r w:rsidR="00DA64D2">
              <w:rPr>
                <w:sz w:val="18"/>
                <w:szCs w:val="18"/>
              </w:rPr>
              <w:t>,</w:t>
            </w:r>
            <w:r w:rsidR="00484EF1">
              <w:rPr>
                <w:sz w:val="18"/>
                <w:szCs w:val="18"/>
              </w:rPr>
              <w:t xml:space="preserve"> </w:t>
            </w:r>
            <w:r w:rsidR="0026282A">
              <w:rPr>
                <w:sz w:val="18"/>
                <w:szCs w:val="18"/>
              </w:rPr>
              <w:t>wyraźnie wskazują, że subwencja będzie wyliczana dla konkretnej szkoły, a nie jak dotąd dla wirtualnej szkoły gminnej. To tylko ułatwia wyliczenie subwencji dla danej szkoły</w:t>
            </w:r>
            <w:r>
              <w:rPr>
                <w:sz w:val="18"/>
                <w:szCs w:val="18"/>
              </w:rPr>
              <w:t>. W niczym nie zmienia to prz</w:t>
            </w:r>
            <w:r w:rsidR="00E15B93">
              <w:rPr>
                <w:sz w:val="18"/>
                <w:szCs w:val="18"/>
              </w:rPr>
              <w:t>yjętego u nas rozwiązania. B</w:t>
            </w:r>
            <w:r>
              <w:rPr>
                <w:sz w:val="18"/>
                <w:szCs w:val="18"/>
              </w:rPr>
              <w:t>ędzie to także sprzyjać samorządom w dość czytelnym wykazaniu</w:t>
            </w:r>
            <w:r w:rsidR="00DA64D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ile pieniędzy dostaje od państwa dla danej, konkretnej szkoły</w:t>
            </w:r>
            <w:r w:rsidR="006C0FAA">
              <w:rPr>
                <w:sz w:val="18"/>
                <w:szCs w:val="18"/>
              </w:rPr>
              <w:t xml:space="preserve">, czyli </w:t>
            </w:r>
            <w:r w:rsidR="00E15B93">
              <w:rPr>
                <w:sz w:val="18"/>
                <w:szCs w:val="18"/>
              </w:rPr>
              <w:t>racjonalizacji jej organizacji</w:t>
            </w:r>
            <w:r w:rsidR="006C0FAA">
              <w:rPr>
                <w:sz w:val="18"/>
                <w:szCs w:val="18"/>
              </w:rPr>
              <w:t>. Inną kwestią jest</w:t>
            </w:r>
            <w:r>
              <w:rPr>
                <w:sz w:val="18"/>
                <w:szCs w:val="18"/>
              </w:rPr>
              <w:t xml:space="preserve"> czy środków tych wystarczy. Może trzeba pogodzić się z faktem, że subwencja oświatowa </w:t>
            </w:r>
            <w:r w:rsidR="00552E23">
              <w:rPr>
                <w:sz w:val="18"/>
                <w:szCs w:val="18"/>
              </w:rPr>
              <w:t xml:space="preserve">często </w:t>
            </w:r>
            <w:r>
              <w:rPr>
                <w:sz w:val="18"/>
                <w:szCs w:val="18"/>
              </w:rPr>
              <w:t>jest tylko dofina</w:t>
            </w:r>
            <w:r w:rsidR="006C0FAA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sowaniem w prowadzeniu szkół. Jeżeli tak założymy, to nadal potrzebujemy miernika wskazującego</w:t>
            </w:r>
            <w:r w:rsidR="006C0FA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ile i dlaczego do danej szkoły dokładamy.</w:t>
            </w:r>
            <w:r w:rsidR="00484EF1">
              <w:rPr>
                <w:sz w:val="18"/>
                <w:szCs w:val="18"/>
              </w:rPr>
              <w:t xml:space="preserve"> Obecnie podstawę </w:t>
            </w:r>
            <w:r w:rsidR="00E15B93">
              <w:rPr>
                <w:sz w:val="18"/>
                <w:szCs w:val="18"/>
              </w:rPr>
              <w:t>prawną przyjętych rozwiązań stanowi</w:t>
            </w:r>
            <w:r w:rsidR="00484EF1">
              <w:rPr>
                <w:sz w:val="18"/>
                <w:szCs w:val="18"/>
              </w:rPr>
              <w:t xml:space="preserve"> ustawa z dnia 29 sierpnia 2009 r. o finansach publicznych (Dz.U. z 2013 r. poz.885 z </w:t>
            </w:r>
            <w:proofErr w:type="spellStart"/>
            <w:r w:rsidR="00484EF1">
              <w:rPr>
                <w:sz w:val="18"/>
                <w:szCs w:val="18"/>
              </w:rPr>
              <w:t>późn</w:t>
            </w:r>
            <w:proofErr w:type="spellEnd"/>
            <w:r w:rsidR="00484EF1">
              <w:rPr>
                <w:sz w:val="18"/>
                <w:szCs w:val="18"/>
              </w:rPr>
              <w:t xml:space="preserve">. zm.). Wskazuje ona kompetencję </w:t>
            </w:r>
            <w:proofErr w:type="spellStart"/>
            <w:r w:rsidR="00484EF1">
              <w:rPr>
                <w:sz w:val="18"/>
                <w:szCs w:val="18"/>
              </w:rPr>
              <w:t>jst</w:t>
            </w:r>
            <w:proofErr w:type="spellEnd"/>
            <w:r w:rsidR="00484EF1">
              <w:rPr>
                <w:sz w:val="18"/>
                <w:szCs w:val="18"/>
              </w:rPr>
              <w:t xml:space="preserve"> do określenia zasad opracowywania planów finansowych jednostek budżetowych. </w:t>
            </w:r>
          </w:p>
        </w:tc>
      </w:tr>
      <w:tr w:rsidR="00F62EAB" w:rsidRPr="0038512B" w:rsidTr="0038512B">
        <w:tc>
          <w:tcPr>
            <w:tcW w:w="9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AB" w:rsidRPr="0038512B" w:rsidRDefault="00F62EAB" w:rsidP="0038512B">
            <w:pPr>
              <w:spacing w:after="0"/>
              <w:rPr>
                <w:sz w:val="8"/>
                <w:szCs w:val="8"/>
              </w:rPr>
            </w:pPr>
          </w:p>
        </w:tc>
      </w:tr>
      <w:tr w:rsidR="00F62EAB" w:rsidRPr="003F51DA" w:rsidTr="0038512B">
        <w:tc>
          <w:tcPr>
            <w:tcW w:w="9901" w:type="dxa"/>
            <w:gridSpan w:val="8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F62EAB" w:rsidRPr="003F51DA" w:rsidRDefault="00F62EAB" w:rsidP="00F71B02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3F51DA">
              <w:rPr>
                <w:b/>
                <w:sz w:val="18"/>
                <w:szCs w:val="18"/>
              </w:rPr>
              <w:t xml:space="preserve">. Namiary na osobę, która może przekazać szczegółowe informacje na temat rozwiązania </w:t>
            </w:r>
          </w:p>
        </w:tc>
      </w:tr>
      <w:tr w:rsidR="00B73408" w:rsidRPr="00B96E31" w:rsidTr="009C6869">
        <w:trPr>
          <w:trHeight w:val="454"/>
        </w:trPr>
        <w:tc>
          <w:tcPr>
            <w:tcW w:w="1538" w:type="dxa"/>
            <w:shd w:val="clear" w:color="auto" w:fill="EAF1DD" w:themeFill="accent3" w:themeFillTint="33"/>
            <w:vAlign w:val="center"/>
          </w:tcPr>
          <w:p w:rsidR="00B73408" w:rsidRPr="004116D9" w:rsidRDefault="00B73408" w:rsidP="00F71B02">
            <w:pPr>
              <w:spacing w:before="60" w:after="60"/>
              <w:rPr>
                <w:b/>
                <w:sz w:val="16"/>
                <w:szCs w:val="16"/>
              </w:rPr>
            </w:pPr>
            <w:r w:rsidRPr="003F51DA">
              <w:rPr>
                <w:sz w:val="18"/>
                <w:szCs w:val="18"/>
              </w:rPr>
              <w:t>Imię i Nazwisko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73408" w:rsidRPr="004116D9" w:rsidRDefault="00B73408" w:rsidP="00802732">
            <w:pPr>
              <w:spacing w:before="60" w:after="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Zbigniew </w:t>
            </w:r>
            <w:r w:rsidRPr="00C040A7">
              <w:rPr>
                <w:b/>
                <w:sz w:val="16"/>
                <w:szCs w:val="16"/>
              </w:rPr>
              <w:t>Marek Tymecki</w:t>
            </w:r>
          </w:p>
        </w:tc>
        <w:tc>
          <w:tcPr>
            <w:tcW w:w="1367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73408" w:rsidRPr="00B96E31" w:rsidRDefault="00B73408" w:rsidP="00802732">
            <w:pPr>
              <w:spacing w:before="60" w:after="60"/>
              <w:rPr>
                <w:sz w:val="16"/>
                <w:szCs w:val="16"/>
              </w:rPr>
            </w:pPr>
            <w:r w:rsidRPr="003F51DA">
              <w:rPr>
                <w:sz w:val="18"/>
                <w:szCs w:val="18"/>
              </w:rPr>
              <w:t>Funkcja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408" w:rsidRPr="00B96E31" w:rsidRDefault="00B73408" w:rsidP="0080273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dyrektor</w:t>
            </w:r>
          </w:p>
        </w:tc>
      </w:tr>
      <w:tr w:rsidR="00B73408" w:rsidRPr="00B96E31" w:rsidTr="009C6869">
        <w:trPr>
          <w:trHeight w:val="454"/>
        </w:trPr>
        <w:tc>
          <w:tcPr>
            <w:tcW w:w="1538" w:type="dxa"/>
            <w:shd w:val="clear" w:color="auto" w:fill="EAF1DD" w:themeFill="accent3" w:themeFillTint="33"/>
            <w:vAlign w:val="center"/>
          </w:tcPr>
          <w:p w:rsidR="00B73408" w:rsidRPr="004116D9" w:rsidRDefault="00B73408" w:rsidP="00F71B02">
            <w:pPr>
              <w:spacing w:before="60" w:after="60"/>
              <w:rPr>
                <w:b/>
                <w:sz w:val="16"/>
                <w:szCs w:val="16"/>
              </w:rPr>
            </w:pPr>
            <w:r w:rsidRPr="003F51DA">
              <w:rPr>
                <w:sz w:val="18"/>
                <w:szCs w:val="18"/>
              </w:rPr>
              <w:t>Adres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408" w:rsidRPr="00D272AE" w:rsidRDefault="00B73408" w:rsidP="0080273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Zakład Obsługi Oświaty Samorządowej w Sępólnie Krajeńskim, ul. Kościuszki 11, 89 – 400 Sępólno Krajeńskie</w:t>
            </w:r>
          </w:p>
        </w:tc>
        <w:tc>
          <w:tcPr>
            <w:tcW w:w="1367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73408" w:rsidRPr="00B96E31" w:rsidRDefault="00B73408" w:rsidP="00802732">
            <w:pPr>
              <w:spacing w:before="60" w:after="60"/>
              <w:rPr>
                <w:sz w:val="16"/>
                <w:szCs w:val="16"/>
              </w:rPr>
            </w:pPr>
            <w:r w:rsidRPr="003F51DA">
              <w:rPr>
                <w:sz w:val="18"/>
                <w:szCs w:val="18"/>
              </w:rPr>
              <w:t>Telefon</w:t>
            </w:r>
          </w:p>
        </w:tc>
        <w:tc>
          <w:tcPr>
            <w:tcW w:w="3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3408" w:rsidRPr="00B96E31" w:rsidRDefault="00B73408" w:rsidP="0080273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52 389 42 41</w:t>
            </w:r>
          </w:p>
        </w:tc>
      </w:tr>
      <w:tr w:rsidR="00B73408" w:rsidRPr="00B96E31" w:rsidTr="009C6869">
        <w:trPr>
          <w:trHeight w:val="454"/>
        </w:trPr>
        <w:tc>
          <w:tcPr>
            <w:tcW w:w="153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B73408" w:rsidRPr="003F51DA" w:rsidRDefault="00B73408" w:rsidP="00F71B02">
            <w:pPr>
              <w:spacing w:before="60" w:after="60"/>
              <w:rPr>
                <w:sz w:val="18"/>
                <w:szCs w:val="18"/>
              </w:rPr>
            </w:pPr>
            <w:r w:rsidRPr="003F51DA">
              <w:rPr>
                <w:sz w:val="18"/>
                <w:szCs w:val="18"/>
              </w:rPr>
              <w:t>E-mail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408" w:rsidRPr="00D272AE" w:rsidRDefault="00B73408" w:rsidP="00802732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zoos_sepolno@wp.pl</w:t>
            </w:r>
          </w:p>
        </w:tc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3408" w:rsidRPr="003F51DA" w:rsidRDefault="00B73408" w:rsidP="00802732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73408" w:rsidRPr="00B96E31" w:rsidRDefault="00B73408" w:rsidP="00802732">
            <w:pPr>
              <w:spacing w:before="60" w:after="60"/>
              <w:rPr>
                <w:sz w:val="16"/>
                <w:szCs w:val="16"/>
              </w:rPr>
            </w:pPr>
          </w:p>
        </w:tc>
      </w:tr>
    </w:tbl>
    <w:p w:rsidR="00F62EAB" w:rsidRPr="0038512B" w:rsidRDefault="00F62EAB" w:rsidP="0038512B">
      <w:pPr>
        <w:spacing w:after="0"/>
        <w:rPr>
          <w:sz w:val="12"/>
          <w:szCs w:val="12"/>
        </w:rPr>
      </w:pPr>
    </w:p>
    <w:tbl>
      <w:tblPr>
        <w:tblW w:w="9937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599"/>
        <w:gridCol w:w="4338"/>
      </w:tblGrid>
      <w:tr w:rsidR="00F62EAB" w:rsidRPr="00017AF2" w:rsidTr="0038512B">
        <w:trPr>
          <w:trHeight w:val="30"/>
        </w:trPr>
        <w:tc>
          <w:tcPr>
            <w:tcW w:w="9937" w:type="dxa"/>
            <w:gridSpan w:val="2"/>
            <w:shd w:val="clear" w:color="auto" w:fill="EAF1DD" w:themeFill="accent3" w:themeFillTint="33"/>
          </w:tcPr>
          <w:p w:rsidR="00F62EAB" w:rsidRPr="00F14757" w:rsidRDefault="00F62EAB" w:rsidP="00F71B02">
            <w:pPr>
              <w:spacing w:before="45" w:after="45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4.</w:t>
            </w:r>
            <w:r w:rsidRPr="00F14757">
              <w:rPr>
                <w:b/>
                <w:i/>
                <w:sz w:val="18"/>
                <w:szCs w:val="18"/>
              </w:rPr>
              <w:t xml:space="preserve"> Wzorcowe dokumenty </w:t>
            </w:r>
            <w:r>
              <w:rPr>
                <w:b/>
                <w:i/>
                <w:sz w:val="18"/>
                <w:szCs w:val="18"/>
              </w:rPr>
              <w:t xml:space="preserve">i materiały </w:t>
            </w:r>
            <w:r w:rsidRPr="00F14757">
              <w:rPr>
                <w:b/>
                <w:i/>
                <w:sz w:val="18"/>
                <w:szCs w:val="18"/>
              </w:rPr>
              <w:t>dostępne dla podmiotów zainteresowanych replikacją</w:t>
            </w:r>
          </w:p>
        </w:tc>
      </w:tr>
      <w:tr w:rsidR="00F62EAB" w:rsidRPr="00017AF2" w:rsidTr="00BB4FE6">
        <w:trPr>
          <w:trHeight w:val="30"/>
        </w:trPr>
        <w:tc>
          <w:tcPr>
            <w:tcW w:w="5599" w:type="dxa"/>
            <w:shd w:val="clear" w:color="auto" w:fill="EAF1DD" w:themeFill="accent3" w:themeFillTint="33"/>
            <w:vAlign w:val="center"/>
          </w:tcPr>
          <w:p w:rsidR="00F62EAB" w:rsidRPr="00F14757" w:rsidRDefault="00F62EAB" w:rsidP="00F71B02">
            <w:pPr>
              <w:spacing w:before="45" w:after="45"/>
              <w:jc w:val="center"/>
              <w:rPr>
                <w:sz w:val="18"/>
                <w:szCs w:val="18"/>
                <w:u w:val="single"/>
              </w:rPr>
            </w:pPr>
            <w:r w:rsidRPr="00F14757">
              <w:rPr>
                <w:sz w:val="18"/>
                <w:szCs w:val="18"/>
                <w:u w:val="single"/>
              </w:rPr>
              <w:t>Opis dokumentu</w:t>
            </w:r>
            <w:r>
              <w:rPr>
                <w:sz w:val="18"/>
                <w:szCs w:val="18"/>
                <w:u w:val="single"/>
              </w:rPr>
              <w:t xml:space="preserve"> / materiału</w:t>
            </w:r>
          </w:p>
        </w:tc>
        <w:tc>
          <w:tcPr>
            <w:tcW w:w="4338" w:type="dxa"/>
            <w:shd w:val="clear" w:color="auto" w:fill="EAF1DD" w:themeFill="accent3" w:themeFillTint="33"/>
            <w:vAlign w:val="center"/>
          </w:tcPr>
          <w:p w:rsidR="00F62EAB" w:rsidRPr="00F14757" w:rsidRDefault="00BB4FE6" w:rsidP="00BB4FE6">
            <w:pPr>
              <w:spacing w:before="45" w:after="45"/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Forma</w:t>
            </w:r>
            <w:r w:rsidR="00F62EAB" w:rsidRPr="00F14757">
              <w:rPr>
                <w:sz w:val="18"/>
                <w:szCs w:val="18"/>
                <w:u w:val="single"/>
              </w:rPr>
              <w:t xml:space="preserve"> udostępnienia</w:t>
            </w:r>
            <w:r>
              <w:rPr>
                <w:sz w:val="18"/>
                <w:szCs w:val="18"/>
                <w:u w:val="single"/>
              </w:rPr>
              <w:t>:</w:t>
            </w:r>
            <w:r w:rsidR="00F62EAB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 xml:space="preserve">załącznik (preferowane) / </w:t>
            </w:r>
            <w:r w:rsidR="00F62EAB">
              <w:rPr>
                <w:sz w:val="18"/>
                <w:szCs w:val="18"/>
                <w:u w:val="single"/>
              </w:rPr>
              <w:t>link</w:t>
            </w:r>
          </w:p>
        </w:tc>
      </w:tr>
      <w:tr w:rsidR="00F62EAB" w:rsidRPr="00017AF2" w:rsidTr="00BB4FE6">
        <w:trPr>
          <w:trHeight w:val="454"/>
        </w:trPr>
        <w:tc>
          <w:tcPr>
            <w:tcW w:w="5599" w:type="dxa"/>
            <w:shd w:val="clear" w:color="auto" w:fill="auto"/>
            <w:vAlign w:val="center"/>
          </w:tcPr>
          <w:p w:rsidR="00F62EAB" w:rsidRPr="00765202" w:rsidRDefault="00F62EAB" w:rsidP="009C6869">
            <w:pPr>
              <w:spacing w:before="45" w:after="45"/>
              <w:rPr>
                <w:sz w:val="18"/>
                <w:szCs w:val="18"/>
              </w:rPr>
            </w:pPr>
            <w:r w:rsidRPr="00765202">
              <w:rPr>
                <w:sz w:val="18"/>
                <w:szCs w:val="18"/>
              </w:rPr>
              <w:t xml:space="preserve">1.  </w:t>
            </w:r>
            <w:r w:rsidR="00CF065A" w:rsidRPr="00CF065A">
              <w:rPr>
                <w:sz w:val="18"/>
                <w:szCs w:val="18"/>
              </w:rPr>
              <w:t>Budżet w oddziałach przedszkolnych i przedszkolach z uwzględnieniem dotacji i subwencji ostatecznej na 2017 r.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F62EAB" w:rsidRPr="00765202" w:rsidRDefault="00F62EAB" w:rsidP="00F71B02">
            <w:pPr>
              <w:spacing w:before="45" w:after="45"/>
              <w:rPr>
                <w:sz w:val="18"/>
                <w:szCs w:val="18"/>
              </w:rPr>
            </w:pPr>
          </w:p>
        </w:tc>
      </w:tr>
      <w:tr w:rsidR="00F62EAB" w:rsidRPr="00017AF2" w:rsidTr="00BB4FE6">
        <w:trPr>
          <w:trHeight w:val="454"/>
        </w:trPr>
        <w:tc>
          <w:tcPr>
            <w:tcW w:w="5599" w:type="dxa"/>
            <w:shd w:val="clear" w:color="auto" w:fill="auto"/>
            <w:vAlign w:val="center"/>
          </w:tcPr>
          <w:p w:rsidR="00F62EAB" w:rsidRPr="00765202" w:rsidRDefault="00F62EAB" w:rsidP="00CF065A">
            <w:pPr>
              <w:spacing w:before="45" w:after="45"/>
              <w:rPr>
                <w:sz w:val="18"/>
                <w:szCs w:val="18"/>
              </w:rPr>
            </w:pPr>
            <w:r w:rsidRPr="00765202">
              <w:rPr>
                <w:sz w:val="18"/>
                <w:szCs w:val="18"/>
              </w:rPr>
              <w:t xml:space="preserve">2.  </w:t>
            </w:r>
            <w:r w:rsidR="00CF065A" w:rsidRPr="00CF065A">
              <w:rPr>
                <w:sz w:val="18"/>
                <w:szCs w:val="18"/>
              </w:rPr>
              <w:t>Wyli</w:t>
            </w:r>
            <w:r w:rsidR="00CF065A">
              <w:rPr>
                <w:sz w:val="18"/>
                <w:szCs w:val="18"/>
              </w:rPr>
              <w:t>czenie ra</w:t>
            </w:r>
            <w:r w:rsidR="0037120A">
              <w:rPr>
                <w:sz w:val="18"/>
                <w:szCs w:val="18"/>
              </w:rPr>
              <w:t>m budżetu na 2017</w:t>
            </w:r>
            <w:r w:rsidR="006C0FAA">
              <w:rPr>
                <w:sz w:val="18"/>
                <w:szCs w:val="18"/>
              </w:rPr>
              <w:t xml:space="preserve"> </w:t>
            </w:r>
            <w:r w:rsidR="00CF065A">
              <w:rPr>
                <w:sz w:val="18"/>
                <w:szCs w:val="18"/>
              </w:rPr>
              <w:t>r. d</w:t>
            </w:r>
            <w:r w:rsidR="00E00F04">
              <w:rPr>
                <w:sz w:val="18"/>
                <w:szCs w:val="18"/>
              </w:rPr>
              <w:t>la Gm.</w:t>
            </w:r>
            <w:r w:rsidR="0037120A">
              <w:rPr>
                <w:sz w:val="18"/>
                <w:szCs w:val="18"/>
              </w:rPr>
              <w:t xml:space="preserve"> Przedszkola Nr </w:t>
            </w:r>
            <w:r w:rsidR="00CF065A" w:rsidRPr="00CF065A">
              <w:rPr>
                <w:sz w:val="18"/>
                <w:szCs w:val="18"/>
              </w:rPr>
              <w:t>1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F62EAB" w:rsidRPr="00765202" w:rsidRDefault="00F62EAB" w:rsidP="00F71B02">
            <w:pPr>
              <w:spacing w:before="45" w:after="45"/>
              <w:rPr>
                <w:sz w:val="18"/>
                <w:szCs w:val="18"/>
              </w:rPr>
            </w:pPr>
          </w:p>
        </w:tc>
      </w:tr>
      <w:tr w:rsidR="00F62EAB" w:rsidRPr="00017AF2" w:rsidTr="00BB4FE6">
        <w:trPr>
          <w:trHeight w:val="454"/>
        </w:trPr>
        <w:tc>
          <w:tcPr>
            <w:tcW w:w="5599" w:type="dxa"/>
            <w:shd w:val="clear" w:color="auto" w:fill="auto"/>
            <w:vAlign w:val="center"/>
          </w:tcPr>
          <w:p w:rsidR="00F62EAB" w:rsidRPr="00765202" w:rsidRDefault="00F62EAB" w:rsidP="00F71B02">
            <w:pPr>
              <w:spacing w:before="45" w:after="45"/>
              <w:rPr>
                <w:sz w:val="18"/>
                <w:szCs w:val="18"/>
              </w:rPr>
            </w:pPr>
            <w:r w:rsidRPr="00765202">
              <w:rPr>
                <w:sz w:val="18"/>
                <w:szCs w:val="18"/>
              </w:rPr>
              <w:t xml:space="preserve">3.  </w:t>
            </w:r>
            <w:r w:rsidR="0037120A" w:rsidRPr="0037120A">
              <w:rPr>
                <w:sz w:val="18"/>
                <w:szCs w:val="18"/>
              </w:rPr>
              <w:t xml:space="preserve">Wyliczenie i podział subwencji ostatecznej </w:t>
            </w:r>
            <w:r w:rsidR="0037120A">
              <w:rPr>
                <w:sz w:val="18"/>
                <w:szCs w:val="18"/>
              </w:rPr>
              <w:t xml:space="preserve">dla szkół, przedszkoli i oddziałów przedszkolnych </w:t>
            </w:r>
            <w:r w:rsidR="0037120A" w:rsidRPr="0037120A">
              <w:rPr>
                <w:sz w:val="18"/>
                <w:szCs w:val="18"/>
              </w:rPr>
              <w:t>na 2017 r.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F62EAB" w:rsidRPr="00765202" w:rsidRDefault="00F62EAB" w:rsidP="00F71B02">
            <w:pPr>
              <w:spacing w:before="45" w:after="45"/>
              <w:rPr>
                <w:sz w:val="18"/>
                <w:szCs w:val="18"/>
              </w:rPr>
            </w:pPr>
          </w:p>
        </w:tc>
      </w:tr>
      <w:tr w:rsidR="0037120A" w:rsidRPr="00017AF2" w:rsidTr="00BB4FE6">
        <w:trPr>
          <w:trHeight w:val="454"/>
        </w:trPr>
        <w:tc>
          <w:tcPr>
            <w:tcW w:w="5599" w:type="dxa"/>
            <w:shd w:val="clear" w:color="auto" w:fill="auto"/>
            <w:vAlign w:val="center"/>
          </w:tcPr>
          <w:p w:rsidR="0037120A" w:rsidRPr="00765202" w:rsidRDefault="0037120A" w:rsidP="00F71B02">
            <w:pPr>
              <w:spacing w:before="45" w:after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t xml:space="preserve"> </w:t>
            </w:r>
            <w:r w:rsidRPr="0037120A">
              <w:rPr>
                <w:sz w:val="18"/>
                <w:szCs w:val="18"/>
              </w:rPr>
              <w:t>Zes</w:t>
            </w:r>
            <w:r>
              <w:rPr>
                <w:sz w:val="18"/>
                <w:szCs w:val="18"/>
              </w:rPr>
              <w:t>tawienie</w:t>
            </w:r>
            <w:r w:rsidRPr="0037120A">
              <w:rPr>
                <w:sz w:val="18"/>
                <w:szCs w:val="18"/>
              </w:rPr>
              <w:t xml:space="preserve"> budżetów szkół i subwencji ostatecznej na 2017</w:t>
            </w:r>
            <w:r w:rsidR="006C0FAA">
              <w:rPr>
                <w:sz w:val="18"/>
                <w:szCs w:val="18"/>
              </w:rPr>
              <w:t xml:space="preserve"> </w:t>
            </w:r>
            <w:r w:rsidRPr="0037120A">
              <w:rPr>
                <w:sz w:val="18"/>
                <w:szCs w:val="18"/>
              </w:rPr>
              <w:t xml:space="preserve">r.  </w:t>
            </w:r>
          </w:p>
        </w:tc>
        <w:tc>
          <w:tcPr>
            <w:tcW w:w="4338" w:type="dxa"/>
            <w:shd w:val="clear" w:color="auto" w:fill="auto"/>
            <w:vAlign w:val="center"/>
          </w:tcPr>
          <w:p w:rsidR="0037120A" w:rsidRPr="00765202" w:rsidRDefault="0037120A" w:rsidP="00F71B02">
            <w:pPr>
              <w:spacing w:before="45" w:after="45"/>
              <w:rPr>
                <w:sz w:val="18"/>
                <w:szCs w:val="18"/>
              </w:rPr>
            </w:pPr>
          </w:p>
        </w:tc>
      </w:tr>
    </w:tbl>
    <w:p w:rsidR="00A172DA" w:rsidRPr="00F62EAB" w:rsidRDefault="00A172DA" w:rsidP="00F62EAB"/>
    <w:sectPr w:rsidR="00A172DA" w:rsidRPr="00F62EAB" w:rsidSect="00D30977">
      <w:headerReference w:type="default" r:id="rId8"/>
      <w:pgSz w:w="11906" w:h="16838" w:code="9"/>
      <w:pgMar w:top="1247" w:right="1134" w:bottom="1021" w:left="1134" w:header="11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90" w:rsidRDefault="00617690">
      <w:pPr>
        <w:spacing w:after="0"/>
      </w:pPr>
      <w:r>
        <w:separator/>
      </w:r>
    </w:p>
  </w:endnote>
  <w:endnote w:type="continuationSeparator" w:id="0">
    <w:p w:rsidR="00617690" w:rsidRDefault="006176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90" w:rsidRDefault="00617690">
      <w:pPr>
        <w:spacing w:after="0"/>
      </w:pPr>
      <w:r>
        <w:separator/>
      </w:r>
    </w:p>
  </w:footnote>
  <w:footnote w:type="continuationSeparator" w:id="0">
    <w:p w:rsidR="00617690" w:rsidRDefault="006176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883" w:rsidRDefault="00077A5B">
    <w:pPr>
      <w:pStyle w:val="Nagwek"/>
    </w:pPr>
    <w:r>
      <w:rPr>
        <w:noProof/>
      </w:rPr>
      <w:drawing>
        <wp:inline distT="0" distB="0" distL="0" distR="0" wp14:anchorId="2D19F279" wp14:editId="5777E8CB">
          <wp:extent cx="6120130" cy="62293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new 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449"/>
    <w:multiLevelType w:val="hybridMultilevel"/>
    <w:tmpl w:val="CD8E794A"/>
    <w:lvl w:ilvl="0" w:tplc="9182D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FC822C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648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909F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2AD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E2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F2A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E1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82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346260"/>
    <w:multiLevelType w:val="hybridMultilevel"/>
    <w:tmpl w:val="AA8411EC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C1592E"/>
    <w:multiLevelType w:val="hybridMultilevel"/>
    <w:tmpl w:val="153C13B2"/>
    <w:lvl w:ilvl="0" w:tplc="32EA8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8E22E0"/>
    <w:multiLevelType w:val="hybridMultilevel"/>
    <w:tmpl w:val="EDF69B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EA0645"/>
    <w:multiLevelType w:val="hybridMultilevel"/>
    <w:tmpl w:val="89A87A26"/>
    <w:lvl w:ilvl="0" w:tplc="A288B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DC8152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E45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DA3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89B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2C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4A8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4A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A1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85495B"/>
    <w:multiLevelType w:val="hybridMultilevel"/>
    <w:tmpl w:val="E0501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64CA9"/>
    <w:multiLevelType w:val="hybridMultilevel"/>
    <w:tmpl w:val="5E6609AC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3253C0"/>
    <w:multiLevelType w:val="hybridMultilevel"/>
    <w:tmpl w:val="740EAA06"/>
    <w:lvl w:ilvl="0" w:tplc="B3AC7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AF86A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0C9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CF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80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7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47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AD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2B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26045F1"/>
    <w:multiLevelType w:val="hybridMultilevel"/>
    <w:tmpl w:val="EDC093A6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E73B4C"/>
    <w:multiLevelType w:val="hybridMultilevel"/>
    <w:tmpl w:val="F634EB7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EB39FA"/>
    <w:multiLevelType w:val="hybridMultilevel"/>
    <w:tmpl w:val="12941F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173671"/>
    <w:multiLevelType w:val="hybridMultilevel"/>
    <w:tmpl w:val="B668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D43929"/>
    <w:multiLevelType w:val="hybridMultilevel"/>
    <w:tmpl w:val="AB44F4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6041FE"/>
    <w:multiLevelType w:val="hybridMultilevel"/>
    <w:tmpl w:val="CD6E8DE8"/>
    <w:lvl w:ilvl="0" w:tplc="32EA8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14664B"/>
    <w:multiLevelType w:val="hybridMultilevel"/>
    <w:tmpl w:val="9374512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7E149E"/>
    <w:multiLevelType w:val="hybridMultilevel"/>
    <w:tmpl w:val="0594404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7833F6"/>
    <w:multiLevelType w:val="hybridMultilevel"/>
    <w:tmpl w:val="3C48E184"/>
    <w:lvl w:ilvl="0" w:tplc="FCD2B6E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091137"/>
    <w:multiLevelType w:val="hybridMultilevel"/>
    <w:tmpl w:val="5710796C"/>
    <w:lvl w:ilvl="0" w:tplc="32EA8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B86336"/>
    <w:multiLevelType w:val="hybridMultilevel"/>
    <w:tmpl w:val="DB480430"/>
    <w:lvl w:ilvl="0" w:tplc="06BA6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AF86A">
      <w:start w:val="21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0C9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CF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80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74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47E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AD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02B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AFC45F8"/>
    <w:multiLevelType w:val="hybridMultilevel"/>
    <w:tmpl w:val="C9FAF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E4FF7"/>
    <w:multiLevelType w:val="hybridMultilevel"/>
    <w:tmpl w:val="1426548C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1D1C71"/>
    <w:multiLevelType w:val="hybridMultilevel"/>
    <w:tmpl w:val="20723E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554BCA"/>
    <w:multiLevelType w:val="hybridMultilevel"/>
    <w:tmpl w:val="929618AC"/>
    <w:lvl w:ilvl="0" w:tplc="B3AC7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CD63C0"/>
    <w:multiLevelType w:val="hybridMultilevel"/>
    <w:tmpl w:val="EA068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6810AB"/>
    <w:multiLevelType w:val="hybridMultilevel"/>
    <w:tmpl w:val="27F40F1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D44462"/>
    <w:multiLevelType w:val="hybridMultilevel"/>
    <w:tmpl w:val="434ABA50"/>
    <w:lvl w:ilvl="0" w:tplc="32EA8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C337CE"/>
    <w:multiLevelType w:val="hybridMultilevel"/>
    <w:tmpl w:val="44DC12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7"/>
  </w:num>
  <w:num w:numId="5">
    <w:abstractNumId w:val="16"/>
  </w:num>
  <w:num w:numId="6">
    <w:abstractNumId w:val="8"/>
  </w:num>
  <w:num w:numId="7">
    <w:abstractNumId w:val="6"/>
  </w:num>
  <w:num w:numId="8">
    <w:abstractNumId w:val="1"/>
  </w:num>
  <w:num w:numId="9">
    <w:abstractNumId w:val="20"/>
  </w:num>
  <w:num w:numId="10">
    <w:abstractNumId w:val="22"/>
  </w:num>
  <w:num w:numId="11">
    <w:abstractNumId w:val="23"/>
  </w:num>
  <w:num w:numId="12">
    <w:abstractNumId w:val="15"/>
  </w:num>
  <w:num w:numId="13">
    <w:abstractNumId w:val="19"/>
  </w:num>
  <w:num w:numId="14">
    <w:abstractNumId w:val="21"/>
  </w:num>
  <w:num w:numId="15">
    <w:abstractNumId w:val="12"/>
  </w:num>
  <w:num w:numId="16">
    <w:abstractNumId w:val="24"/>
  </w:num>
  <w:num w:numId="17">
    <w:abstractNumId w:val="9"/>
  </w:num>
  <w:num w:numId="18">
    <w:abstractNumId w:val="26"/>
  </w:num>
  <w:num w:numId="19">
    <w:abstractNumId w:val="10"/>
  </w:num>
  <w:num w:numId="20">
    <w:abstractNumId w:val="17"/>
  </w:num>
  <w:num w:numId="21">
    <w:abstractNumId w:val="13"/>
  </w:num>
  <w:num w:numId="22">
    <w:abstractNumId w:val="25"/>
  </w:num>
  <w:num w:numId="23">
    <w:abstractNumId w:val="2"/>
  </w:num>
  <w:num w:numId="24">
    <w:abstractNumId w:val="3"/>
  </w:num>
  <w:num w:numId="25">
    <w:abstractNumId w:val="14"/>
  </w:num>
  <w:num w:numId="26">
    <w:abstractNumId w:val="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AB"/>
    <w:rsid w:val="00006968"/>
    <w:rsid w:val="00006CD9"/>
    <w:rsid w:val="00023F32"/>
    <w:rsid w:val="000715CE"/>
    <w:rsid w:val="000768F5"/>
    <w:rsid w:val="00077A5B"/>
    <w:rsid w:val="00095313"/>
    <w:rsid w:val="000A662C"/>
    <w:rsid w:val="000B6DDF"/>
    <w:rsid w:val="000C0B2F"/>
    <w:rsid w:val="000C166C"/>
    <w:rsid w:val="000C4291"/>
    <w:rsid w:val="000D6665"/>
    <w:rsid w:val="000E4637"/>
    <w:rsid w:val="000E5870"/>
    <w:rsid w:val="001245C7"/>
    <w:rsid w:val="00130116"/>
    <w:rsid w:val="00143F53"/>
    <w:rsid w:val="001A49DA"/>
    <w:rsid w:val="001C3FCF"/>
    <w:rsid w:val="001D69FC"/>
    <w:rsid w:val="001F42D4"/>
    <w:rsid w:val="0026282A"/>
    <w:rsid w:val="0026395D"/>
    <w:rsid w:val="0026415B"/>
    <w:rsid w:val="00266B2B"/>
    <w:rsid w:val="00293D5E"/>
    <w:rsid w:val="002B1631"/>
    <w:rsid w:val="002F0643"/>
    <w:rsid w:val="002F59B8"/>
    <w:rsid w:val="00304128"/>
    <w:rsid w:val="003101B3"/>
    <w:rsid w:val="00310FC5"/>
    <w:rsid w:val="00313CDB"/>
    <w:rsid w:val="00344F62"/>
    <w:rsid w:val="0037120A"/>
    <w:rsid w:val="0038512B"/>
    <w:rsid w:val="00387D84"/>
    <w:rsid w:val="00397EF6"/>
    <w:rsid w:val="003A7A2A"/>
    <w:rsid w:val="003D4474"/>
    <w:rsid w:val="003D71AC"/>
    <w:rsid w:val="003E290E"/>
    <w:rsid w:val="004207C6"/>
    <w:rsid w:val="00424378"/>
    <w:rsid w:val="00432B67"/>
    <w:rsid w:val="00441030"/>
    <w:rsid w:val="00444666"/>
    <w:rsid w:val="00456851"/>
    <w:rsid w:val="00484EF1"/>
    <w:rsid w:val="00490502"/>
    <w:rsid w:val="005047D9"/>
    <w:rsid w:val="005121AE"/>
    <w:rsid w:val="00542A52"/>
    <w:rsid w:val="00552E23"/>
    <w:rsid w:val="00554808"/>
    <w:rsid w:val="00570C65"/>
    <w:rsid w:val="0058353F"/>
    <w:rsid w:val="00617690"/>
    <w:rsid w:val="00657097"/>
    <w:rsid w:val="0067760B"/>
    <w:rsid w:val="00680A7A"/>
    <w:rsid w:val="00694B53"/>
    <w:rsid w:val="006A3FC2"/>
    <w:rsid w:val="006B43F3"/>
    <w:rsid w:val="006B648C"/>
    <w:rsid w:val="006C0FAA"/>
    <w:rsid w:val="006E31D4"/>
    <w:rsid w:val="007016C6"/>
    <w:rsid w:val="00725183"/>
    <w:rsid w:val="00727C96"/>
    <w:rsid w:val="00750E07"/>
    <w:rsid w:val="00780767"/>
    <w:rsid w:val="00787ECB"/>
    <w:rsid w:val="007A4326"/>
    <w:rsid w:val="007C3ADB"/>
    <w:rsid w:val="007E2B05"/>
    <w:rsid w:val="007E62C5"/>
    <w:rsid w:val="007E6E19"/>
    <w:rsid w:val="007F5CE0"/>
    <w:rsid w:val="00800FFF"/>
    <w:rsid w:val="008170F8"/>
    <w:rsid w:val="00822345"/>
    <w:rsid w:val="00832AB4"/>
    <w:rsid w:val="00853B14"/>
    <w:rsid w:val="00856763"/>
    <w:rsid w:val="008A691E"/>
    <w:rsid w:val="008A7D04"/>
    <w:rsid w:val="008B3D68"/>
    <w:rsid w:val="008C359E"/>
    <w:rsid w:val="008C4CE8"/>
    <w:rsid w:val="008D04E4"/>
    <w:rsid w:val="008D26A9"/>
    <w:rsid w:val="008F11F9"/>
    <w:rsid w:val="0090200D"/>
    <w:rsid w:val="00914239"/>
    <w:rsid w:val="009202B7"/>
    <w:rsid w:val="00927D7B"/>
    <w:rsid w:val="00952850"/>
    <w:rsid w:val="0098138B"/>
    <w:rsid w:val="0098442F"/>
    <w:rsid w:val="00996B4F"/>
    <w:rsid w:val="009B5496"/>
    <w:rsid w:val="009C6869"/>
    <w:rsid w:val="009D5DD9"/>
    <w:rsid w:val="00A07F90"/>
    <w:rsid w:val="00A10567"/>
    <w:rsid w:val="00A12473"/>
    <w:rsid w:val="00A13E11"/>
    <w:rsid w:val="00A172DA"/>
    <w:rsid w:val="00A31AE0"/>
    <w:rsid w:val="00A3758A"/>
    <w:rsid w:val="00A426A6"/>
    <w:rsid w:val="00A93684"/>
    <w:rsid w:val="00AA1E8D"/>
    <w:rsid w:val="00AF442D"/>
    <w:rsid w:val="00AF691D"/>
    <w:rsid w:val="00B352AC"/>
    <w:rsid w:val="00B4258C"/>
    <w:rsid w:val="00B73408"/>
    <w:rsid w:val="00B85CF9"/>
    <w:rsid w:val="00BA2D6F"/>
    <w:rsid w:val="00BB302C"/>
    <w:rsid w:val="00BB4FE6"/>
    <w:rsid w:val="00BB72A5"/>
    <w:rsid w:val="00BF21DD"/>
    <w:rsid w:val="00BF6114"/>
    <w:rsid w:val="00C05DAE"/>
    <w:rsid w:val="00C074DB"/>
    <w:rsid w:val="00C13990"/>
    <w:rsid w:val="00C33846"/>
    <w:rsid w:val="00C632F4"/>
    <w:rsid w:val="00C76491"/>
    <w:rsid w:val="00CA0279"/>
    <w:rsid w:val="00CA4A7D"/>
    <w:rsid w:val="00CC6E81"/>
    <w:rsid w:val="00CD05E4"/>
    <w:rsid w:val="00CF065A"/>
    <w:rsid w:val="00CF6760"/>
    <w:rsid w:val="00D272AE"/>
    <w:rsid w:val="00D57AB8"/>
    <w:rsid w:val="00D63B1A"/>
    <w:rsid w:val="00D65B69"/>
    <w:rsid w:val="00D913E1"/>
    <w:rsid w:val="00DA05CA"/>
    <w:rsid w:val="00DA64D2"/>
    <w:rsid w:val="00DB4F52"/>
    <w:rsid w:val="00DB6341"/>
    <w:rsid w:val="00DC6587"/>
    <w:rsid w:val="00DF7852"/>
    <w:rsid w:val="00E00F04"/>
    <w:rsid w:val="00E15B93"/>
    <w:rsid w:val="00E25BCA"/>
    <w:rsid w:val="00E370D0"/>
    <w:rsid w:val="00E535FA"/>
    <w:rsid w:val="00E57643"/>
    <w:rsid w:val="00E90E18"/>
    <w:rsid w:val="00E9281C"/>
    <w:rsid w:val="00EE27E3"/>
    <w:rsid w:val="00F01C09"/>
    <w:rsid w:val="00F10294"/>
    <w:rsid w:val="00F54C3D"/>
    <w:rsid w:val="00F62EAB"/>
    <w:rsid w:val="00F71184"/>
    <w:rsid w:val="00F8112A"/>
    <w:rsid w:val="00F9534F"/>
    <w:rsid w:val="00FC199C"/>
    <w:rsid w:val="00F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EAB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0643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0643"/>
    <w:pPr>
      <w:keepNext/>
      <w:keepLines/>
      <w:spacing w:before="300" w:after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0643"/>
    <w:pPr>
      <w:keepNext/>
      <w:keepLines/>
      <w:spacing w:before="240" w:after="180"/>
      <w:outlineLvl w:val="2"/>
    </w:pPr>
    <w:rPr>
      <w:rFonts w:eastAsiaTheme="majorEastAsia" w:cstheme="majorBidi"/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F0643"/>
    <w:pPr>
      <w:keepNext/>
      <w:keepLines/>
      <w:spacing w:before="180"/>
      <w:outlineLvl w:val="3"/>
    </w:pPr>
    <w:rPr>
      <w:rFonts w:eastAsiaTheme="majorEastAsia" w:cstheme="majorBidi"/>
      <w:bCs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643"/>
    <w:pPr>
      <w:keepNext/>
      <w:keepLines/>
      <w:spacing w:before="180"/>
      <w:outlineLvl w:val="4"/>
    </w:pPr>
    <w:rPr>
      <w:rFonts w:eastAsiaTheme="majorEastAsia" w:cstheme="majorBid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643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F0643"/>
    <w:rPr>
      <w:rFonts w:ascii="Arial" w:eastAsiaTheme="majorEastAsia" w:hAnsi="Arial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0643"/>
    <w:rPr>
      <w:rFonts w:ascii="Arial" w:eastAsiaTheme="majorEastAsia" w:hAnsi="Arial" w:cstheme="majorBidi"/>
      <w:b/>
      <w:bCs/>
      <w:i/>
    </w:rPr>
  </w:style>
  <w:style w:type="character" w:customStyle="1" w:styleId="Nagwek4Znak">
    <w:name w:val="Nagłówek 4 Znak"/>
    <w:basedOn w:val="Domylnaczcionkaakapitu"/>
    <w:link w:val="Nagwek4"/>
    <w:uiPriority w:val="9"/>
    <w:rsid w:val="002F0643"/>
    <w:rPr>
      <w:rFonts w:ascii="Arial" w:eastAsiaTheme="majorEastAsia" w:hAnsi="Arial" w:cstheme="majorBidi"/>
      <w:bCs/>
      <w:i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2F0643"/>
    <w:rPr>
      <w:rFonts w:ascii="Arial" w:eastAsiaTheme="majorEastAsia" w:hAnsi="Arial" w:cstheme="majorBidi"/>
      <w:i/>
    </w:rPr>
  </w:style>
  <w:style w:type="paragraph" w:styleId="Tytu">
    <w:name w:val="Title"/>
    <w:basedOn w:val="Normalny"/>
    <w:next w:val="Normalny"/>
    <w:link w:val="TytuZnak"/>
    <w:uiPriority w:val="10"/>
    <w:qFormat/>
    <w:rsid w:val="002F0643"/>
    <w:pPr>
      <w:spacing w:before="480" w:after="360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F0643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643"/>
    <w:pPr>
      <w:numPr>
        <w:ilvl w:val="1"/>
      </w:numPr>
      <w:spacing w:before="240"/>
    </w:pPr>
    <w:rPr>
      <w:rFonts w:eastAsiaTheme="majorEastAsia" w:cstheme="majorBidi"/>
      <w:b/>
      <w:iCs/>
      <w:color w:val="17365D" w:themeColor="text2" w:themeShade="B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F0643"/>
    <w:rPr>
      <w:rFonts w:ascii="Arial" w:eastAsiaTheme="majorEastAsia" w:hAnsi="Arial" w:cstheme="majorBidi"/>
      <w:b/>
      <w:iCs/>
      <w:color w:val="17365D" w:themeColor="text2" w:themeShade="BF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unhideWhenUsed/>
    <w:qFormat/>
    <w:rsid w:val="002F0643"/>
    <w:rPr>
      <w:i/>
      <w:iCs/>
    </w:rPr>
  </w:style>
  <w:style w:type="paragraph" w:styleId="Bezodstpw">
    <w:name w:val="No Spacing"/>
    <w:uiPriority w:val="1"/>
    <w:unhideWhenUsed/>
    <w:qFormat/>
    <w:rsid w:val="002F0643"/>
    <w:pPr>
      <w:spacing w:after="0" w:line="240" w:lineRule="auto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unhideWhenUsed/>
    <w:qFormat/>
    <w:rsid w:val="002F0643"/>
    <w:pPr>
      <w:spacing w:after="60"/>
      <w:ind w:left="720"/>
    </w:pPr>
  </w:style>
  <w:style w:type="paragraph" w:styleId="Cytat">
    <w:name w:val="Quote"/>
    <w:basedOn w:val="Normalny"/>
    <w:next w:val="Normalny"/>
    <w:link w:val="CytatZnak"/>
    <w:uiPriority w:val="29"/>
    <w:qFormat/>
    <w:rsid w:val="002F0643"/>
    <w:pPr>
      <w:spacing w:before="60" w:after="60"/>
      <w:ind w:left="113" w:right="113"/>
    </w:pPr>
    <w:rPr>
      <w:i/>
      <w:iCs/>
      <w:color w:val="365F91" w:themeColor="accent1" w:themeShade="BF"/>
      <w:sz w:val="18"/>
    </w:rPr>
  </w:style>
  <w:style w:type="character" w:customStyle="1" w:styleId="CytatZnak">
    <w:name w:val="Cytat Znak"/>
    <w:basedOn w:val="Domylnaczcionkaakapitu"/>
    <w:link w:val="Cytat"/>
    <w:uiPriority w:val="29"/>
    <w:rsid w:val="002F0643"/>
    <w:rPr>
      <w:rFonts w:ascii="Arial" w:hAnsi="Arial"/>
      <w:i/>
      <w:iCs/>
      <w:color w:val="365F91" w:themeColor="accent1" w:themeShade="BF"/>
      <w:sz w:val="18"/>
    </w:rPr>
  </w:style>
  <w:style w:type="paragraph" w:styleId="Cytatintensywny">
    <w:name w:val="Intense Quote"/>
    <w:aliases w:val="Pod obrazkiem"/>
    <w:basedOn w:val="Normalny"/>
    <w:next w:val="Normalny"/>
    <w:link w:val="CytatintensywnyZnak"/>
    <w:uiPriority w:val="30"/>
    <w:qFormat/>
    <w:rsid w:val="002F0643"/>
    <w:pPr>
      <w:spacing w:before="80" w:after="80"/>
      <w:jc w:val="center"/>
    </w:pPr>
    <w:rPr>
      <w:bCs/>
      <w:iCs/>
      <w:sz w:val="16"/>
    </w:rPr>
  </w:style>
  <w:style w:type="character" w:customStyle="1" w:styleId="CytatintensywnyZnak">
    <w:name w:val="Cytat intensywny Znak"/>
    <w:aliases w:val="Pod obrazkiem Znak"/>
    <w:basedOn w:val="Domylnaczcionkaakapitu"/>
    <w:link w:val="Cytatintensywny"/>
    <w:uiPriority w:val="30"/>
    <w:rsid w:val="002F0643"/>
    <w:rPr>
      <w:rFonts w:ascii="Arial" w:hAnsi="Arial"/>
      <w:bCs/>
      <w:iCs/>
      <w:sz w:val="16"/>
    </w:rPr>
  </w:style>
  <w:style w:type="character" w:styleId="Wyrnieniedelikatne">
    <w:name w:val="Subtle Emphasis"/>
    <w:basedOn w:val="Domylnaczcionkaakapitu"/>
    <w:uiPriority w:val="19"/>
    <w:unhideWhenUsed/>
    <w:qFormat/>
    <w:rsid w:val="002F0643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unhideWhenUsed/>
    <w:qFormat/>
    <w:rsid w:val="002F0643"/>
    <w:rPr>
      <w:smallCaps/>
      <w:color w:val="C0504D" w:themeColor="accent2"/>
      <w:u w:val="single"/>
    </w:rPr>
  </w:style>
  <w:style w:type="character" w:styleId="Hipercze">
    <w:name w:val="Hyperlink"/>
    <w:basedOn w:val="Domylnaczcionkaakapitu"/>
    <w:uiPriority w:val="99"/>
    <w:unhideWhenUsed/>
    <w:rsid w:val="00A172D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2E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EAB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C0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09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112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112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11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EAB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0643"/>
    <w:pPr>
      <w:keepNext/>
      <w:keepLines/>
      <w:spacing w:before="360" w:after="24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0643"/>
    <w:pPr>
      <w:keepNext/>
      <w:keepLines/>
      <w:spacing w:before="300" w:after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0643"/>
    <w:pPr>
      <w:keepNext/>
      <w:keepLines/>
      <w:spacing w:before="240" w:after="180"/>
      <w:outlineLvl w:val="2"/>
    </w:pPr>
    <w:rPr>
      <w:rFonts w:eastAsiaTheme="majorEastAsia" w:cstheme="majorBidi"/>
      <w:b/>
      <w:bCs/>
      <w:i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F0643"/>
    <w:pPr>
      <w:keepNext/>
      <w:keepLines/>
      <w:spacing w:before="180"/>
      <w:outlineLvl w:val="3"/>
    </w:pPr>
    <w:rPr>
      <w:rFonts w:eastAsiaTheme="majorEastAsia" w:cstheme="majorBidi"/>
      <w:bCs/>
      <w:iCs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643"/>
    <w:pPr>
      <w:keepNext/>
      <w:keepLines/>
      <w:spacing w:before="180"/>
      <w:outlineLvl w:val="4"/>
    </w:pPr>
    <w:rPr>
      <w:rFonts w:eastAsiaTheme="majorEastAsia" w:cstheme="majorBid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0643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F0643"/>
    <w:rPr>
      <w:rFonts w:ascii="Arial" w:eastAsiaTheme="majorEastAsia" w:hAnsi="Arial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0643"/>
    <w:rPr>
      <w:rFonts w:ascii="Arial" w:eastAsiaTheme="majorEastAsia" w:hAnsi="Arial" w:cstheme="majorBidi"/>
      <w:b/>
      <w:bCs/>
      <w:i/>
    </w:rPr>
  </w:style>
  <w:style w:type="character" w:customStyle="1" w:styleId="Nagwek4Znak">
    <w:name w:val="Nagłówek 4 Znak"/>
    <w:basedOn w:val="Domylnaczcionkaakapitu"/>
    <w:link w:val="Nagwek4"/>
    <w:uiPriority w:val="9"/>
    <w:rsid w:val="002F0643"/>
    <w:rPr>
      <w:rFonts w:ascii="Arial" w:eastAsiaTheme="majorEastAsia" w:hAnsi="Arial" w:cstheme="majorBidi"/>
      <w:bCs/>
      <w:i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2F0643"/>
    <w:rPr>
      <w:rFonts w:ascii="Arial" w:eastAsiaTheme="majorEastAsia" w:hAnsi="Arial" w:cstheme="majorBidi"/>
      <w:i/>
    </w:rPr>
  </w:style>
  <w:style w:type="paragraph" w:styleId="Tytu">
    <w:name w:val="Title"/>
    <w:basedOn w:val="Normalny"/>
    <w:next w:val="Normalny"/>
    <w:link w:val="TytuZnak"/>
    <w:uiPriority w:val="10"/>
    <w:qFormat/>
    <w:rsid w:val="002F0643"/>
    <w:pPr>
      <w:spacing w:before="480" w:after="360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F0643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0643"/>
    <w:pPr>
      <w:numPr>
        <w:ilvl w:val="1"/>
      </w:numPr>
      <w:spacing w:before="240"/>
    </w:pPr>
    <w:rPr>
      <w:rFonts w:eastAsiaTheme="majorEastAsia" w:cstheme="majorBidi"/>
      <w:b/>
      <w:iCs/>
      <w:color w:val="17365D" w:themeColor="text2" w:themeShade="B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F0643"/>
    <w:rPr>
      <w:rFonts w:ascii="Arial" w:eastAsiaTheme="majorEastAsia" w:hAnsi="Arial" w:cstheme="majorBidi"/>
      <w:b/>
      <w:iCs/>
      <w:color w:val="17365D" w:themeColor="text2" w:themeShade="BF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unhideWhenUsed/>
    <w:qFormat/>
    <w:rsid w:val="002F0643"/>
    <w:rPr>
      <w:i/>
      <w:iCs/>
    </w:rPr>
  </w:style>
  <w:style w:type="paragraph" w:styleId="Bezodstpw">
    <w:name w:val="No Spacing"/>
    <w:uiPriority w:val="1"/>
    <w:unhideWhenUsed/>
    <w:qFormat/>
    <w:rsid w:val="002F0643"/>
    <w:pPr>
      <w:spacing w:after="0" w:line="240" w:lineRule="auto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unhideWhenUsed/>
    <w:qFormat/>
    <w:rsid w:val="002F0643"/>
    <w:pPr>
      <w:spacing w:after="60"/>
      <w:ind w:left="720"/>
    </w:pPr>
  </w:style>
  <w:style w:type="paragraph" w:styleId="Cytat">
    <w:name w:val="Quote"/>
    <w:basedOn w:val="Normalny"/>
    <w:next w:val="Normalny"/>
    <w:link w:val="CytatZnak"/>
    <w:uiPriority w:val="29"/>
    <w:qFormat/>
    <w:rsid w:val="002F0643"/>
    <w:pPr>
      <w:spacing w:before="60" w:after="60"/>
      <w:ind w:left="113" w:right="113"/>
    </w:pPr>
    <w:rPr>
      <w:i/>
      <w:iCs/>
      <w:color w:val="365F91" w:themeColor="accent1" w:themeShade="BF"/>
      <w:sz w:val="18"/>
    </w:rPr>
  </w:style>
  <w:style w:type="character" w:customStyle="1" w:styleId="CytatZnak">
    <w:name w:val="Cytat Znak"/>
    <w:basedOn w:val="Domylnaczcionkaakapitu"/>
    <w:link w:val="Cytat"/>
    <w:uiPriority w:val="29"/>
    <w:rsid w:val="002F0643"/>
    <w:rPr>
      <w:rFonts w:ascii="Arial" w:hAnsi="Arial"/>
      <w:i/>
      <w:iCs/>
      <w:color w:val="365F91" w:themeColor="accent1" w:themeShade="BF"/>
      <w:sz w:val="18"/>
    </w:rPr>
  </w:style>
  <w:style w:type="paragraph" w:styleId="Cytatintensywny">
    <w:name w:val="Intense Quote"/>
    <w:aliases w:val="Pod obrazkiem"/>
    <w:basedOn w:val="Normalny"/>
    <w:next w:val="Normalny"/>
    <w:link w:val="CytatintensywnyZnak"/>
    <w:uiPriority w:val="30"/>
    <w:qFormat/>
    <w:rsid w:val="002F0643"/>
    <w:pPr>
      <w:spacing w:before="80" w:after="80"/>
      <w:jc w:val="center"/>
    </w:pPr>
    <w:rPr>
      <w:bCs/>
      <w:iCs/>
      <w:sz w:val="16"/>
    </w:rPr>
  </w:style>
  <w:style w:type="character" w:customStyle="1" w:styleId="CytatintensywnyZnak">
    <w:name w:val="Cytat intensywny Znak"/>
    <w:aliases w:val="Pod obrazkiem Znak"/>
    <w:basedOn w:val="Domylnaczcionkaakapitu"/>
    <w:link w:val="Cytatintensywny"/>
    <w:uiPriority w:val="30"/>
    <w:rsid w:val="002F0643"/>
    <w:rPr>
      <w:rFonts w:ascii="Arial" w:hAnsi="Arial"/>
      <w:bCs/>
      <w:iCs/>
      <w:sz w:val="16"/>
    </w:rPr>
  </w:style>
  <w:style w:type="character" w:styleId="Wyrnieniedelikatne">
    <w:name w:val="Subtle Emphasis"/>
    <w:basedOn w:val="Domylnaczcionkaakapitu"/>
    <w:uiPriority w:val="19"/>
    <w:unhideWhenUsed/>
    <w:qFormat/>
    <w:rsid w:val="002F0643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unhideWhenUsed/>
    <w:qFormat/>
    <w:rsid w:val="002F0643"/>
    <w:rPr>
      <w:smallCaps/>
      <w:color w:val="C0504D" w:themeColor="accent2"/>
      <w:u w:val="single"/>
    </w:rPr>
  </w:style>
  <w:style w:type="character" w:styleId="Hipercze">
    <w:name w:val="Hyperlink"/>
    <w:basedOn w:val="Domylnaczcionkaakapitu"/>
    <w:uiPriority w:val="99"/>
    <w:unhideWhenUsed/>
    <w:rsid w:val="00A172D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62E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62EAB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C0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1C09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112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112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1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301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764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70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06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9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0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65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795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90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5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8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57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59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9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41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9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22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9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907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8129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4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27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50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2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7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67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Documents\Niestandardowe%20szablony%20pakietu%20Office\M&#243;j%20sz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D1EF8B3F4B4FEE95FC3297F0577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3893F7-4172-466D-81ED-68BB032F21EF}"/>
      </w:docPartPr>
      <w:docPartBody>
        <w:p w:rsidR="004357E1" w:rsidRDefault="001D28BE" w:rsidP="001D28BE">
          <w:pPr>
            <w:pStyle w:val="FDD1EF8B3F4B4FEE95FC3297F0577339"/>
          </w:pPr>
          <w:r w:rsidRPr="0039324D">
            <w:rPr>
              <w:rStyle w:val="Tekstzastpczy"/>
              <w:rFonts w:eastAsia="Calibri"/>
              <w:sz w:val="16"/>
              <w:szCs w:val="16"/>
            </w:rPr>
            <w:t xml:space="preserve">Wybierz </w:t>
          </w:r>
          <w:r>
            <w:rPr>
              <w:rStyle w:val="Tekstzastpczy"/>
              <w:rFonts w:eastAsia="Calibri"/>
              <w:sz w:val="16"/>
              <w:szCs w:val="16"/>
            </w:rPr>
            <w:t>z listy</w:t>
          </w:r>
        </w:p>
      </w:docPartBody>
    </w:docPart>
    <w:docPart>
      <w:docPartPr>
        <w:name w:val="20C94D8DE68040C6B30A1DA9949030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0A8296-36C8-4EF1-B873-3BB4EE231C63}"/>
      </w:docPartPr>
      <w:docPartBody>
        <w:p w:rsidR="004357E1" w:rsidRDefault="001D28BE" w:rsidP="001D28BE">
          <w:pPr>
            <w:pStyle w:val="20C94D8DE68040C6B30A1DA994903033"/>
          </w:pPr>
          <w:r w:rsidRPr="0039324D">
            <w:rPr>
              <w:rStyle w:val="Tekstzastpczy"/>
              <w:rFonts w:eastAsia="Calibri"/>
              <w:sz w:val="16"/>
              <w:szCs w:val="16"/>
            </w:rPr>
            <w:t xml:space="preserve">Wybierz </w:t>
          </w:r>
          <w:r>
            <w:rPr>
              <w:rStyle w:val="Tekstzastpczy"/>
              <w:rFonts w:eastAsia="Calibri"/>
              <w:sz w:val="16"/>
              <w:szCs w:val="16"/>
            </w:rPr>
            <w:t>z listy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BE"/>
    <w:rsid w:val="001D28BE"/>
    <w:rsid w:val="0031086B"/>
    <w:rsid w:val="004357E1"/>
    <w:rsid w:val="00487F1C"/>
    <w:rsid w:val="004B43C2"/>
    <w:rsid w:val="0053630D"/>
    <w:rsid w:val="00547250"/>
    <w:rsid w:val="005D1D73"/>
    <w:rsid w:val="005F507A"/>
    <w:rsid w:val="006A3EE4"/>
    <w:rsid w:val="00747123"/>
    <w:rsid w:val="007F45DB"/>
    <w:rsid w:val="00897BC8"/>
    <w:rsid w:val="009A00A6"/>
    <w:rsid w:val="009D4BFE"/>
    <w:rsid w:val="00A00936"/>
    <w:rsid w:val="00C239C2"/>
    <w:rsid w:val="00CA4D00"/>
    <w:rsid w:val="00CC48C8"/>
    <w:rsid w:val="00F27A9E"/>
    <w:rsid w:val="00F4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28BE"/>
    <w:rPr>
      <w:color w:val="808080"/>
    </w:rPr>
  </w:style>
  <w:style w:type="paragraph" w:customStyle="1" w:styleId="FDD1EF8B3F4B4FEE95FC3297F0577339">
    <w:name w:val="FDD1EF8B3F4B4FEE95FC3297F0577339"/>
    <w:rsid w:val="001D28BE"/>
  </w:style>
  <w:style w:type="paragraph" w:customStyle="1" w:styleId="20C94D8DE68040C6B30A1DA994903033">
    <w:name w:val="20C94D8DE68040C6B30A1DA994903033"/>
    <w:rsid w:val="001D28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28BE"/>
    <w:rPr>
      <w:color w:val="808080"/>
    </w:rPr>
  </w:style>
  <w:style w:type="paragraph" w:customStyle="1" w:styleId="FDD1EF8B3F4B4FEE95FC3297F0577339">
    <w:name w:val="FDD1EF8B3F4B4FEE95FC3297F0577339"/>
    <w:rsid w:val="001D28BE"/>
  </w:style>
  <w:style w:type="paragraph" w:customStyle="1" w:styleId="20C94D8DE68040C6B30A1DA994903033">
    <w:name w:val="20C94D8DE68040C6B30A1DA994903033"/>
    <w:rsid w:val="001D2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Mój szablon</Template>
  <TotalTime>1138</TotalTime>
  <Pages>5</Pages>
  <Words>3086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Jaszczot</dc:creator>
  <cp:lastModifiedBy>Marek Tymecki</cp:lastModifiedBy>
  <cp:revision>60</cp:revision>
  <dcterms:created xsi:type="dcterms:W3CDTF">2017-05-08T13:05:00Z</dcterms:created>
  <dcterms:modified xsi:type="dcterms:W3CDTF">2017-05-31T19:26:00Z</dcterms:modified>
</cp:coreProperties>
</file>